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32C55" w14:textId="77777777" w:rsidR="00C327B7" w:rsidRDefault="00C327B7" w:rsidP="00C327B7">
      <w:pPr>
        <w:spacing w:after="0"/>
        <w:jc w:val="center"/>
        <w:rPr>
          <w:rFonts w:ascii="Times New Roman" w:hAnsi="Times New Roman" w:cs="Times New Roman"/>
          <w:b/>
          <w:sz w:val="32"/>
          <w:lang w:val="en-US"/>
        </w:rPr>
      </w:pPr>
    </w:p>
    <w:p w14:paraId="6548798A" w14:textId="77777777" w:rsidR="00B80B2C" w:rsidRPr="00B80B2C" w:rsidRDefault="00B80B2C" w:rsidP="00B80B2C">
      <w:pPr>
        <w:jc w:val="center"/>
        <w:rPr>
          <w:rFonts w:ascii="Times New Roman" w:hAnsi="Times New Roman" w:cs="Times New Roman"/>
          <w:b/>
          <w:color w:val="FF0000"/>
          <w:sz w:val="32"/>
          <w:lang w:val="en-US"/>
        </w:rPr>
      </w:pPr>
      <w:r w:rsidRPr="00B80B2C">
        <w:rPr>
          <w:rFonts w:ascii="Times New Roman" w:hAnsi="Times New Roman" w:cs="Times New Roman"/>
          <w:b/>
          <w:sz w:val="32"/>
          <w:lang w:val="en-US"/>
        </w:rPr>
        <w:t>Paper Title</w:t>
      </w:r>
    </w:p>
    <w:p w14:paraId="286B99F9" w14:textId="77777777" w:rsidR="00B80B2C" w:rsidRPr="00DF7074" w:rsidRDefault="00A978C2" w:rsidP="00B80B2C">
      <w:pPr>
        <w:jc w:val="center"/>
        <w:rPr>
          <w:rFonts w:ascii="Times New Roman" w:hAnsi="Times New Roman" w:cs="Times New Roman"/>
          <w:sz w:val="24"/>
          <w:vertAlign w:val="superscript"/>
          <w:lang w:val="en-US"/>
        </w:rPr>
      </w:pPr>
      <w:r w:rsidRPr="00DF7074">
        <w:rPr>
          <w:rFonts w:ascii="Times New Roman" w:hAnsi="Times New Roman" w:cs="Times New Roman"/>
          <w:sz w:val="24"/>
          <w:lang w:val="en-US"/>
        </w:rPr>
        <w:t>First Author</w:t>
      </w:r>
      <w:r w:rsidR="00B80B2C" w:rsidRPr="00DF7074">
        <w:rPr>
          <w:rFonts w:ascii="Times New Roman" w:hAnsi="Times New Roman" w:cs="Times New Roman"/>
          <w:sz w:val="24"/>
          <w:vertAlign w:val="superscript"/>
          <w:lang w:val="en-US"/>
        </w:rPr>
        <w:t>*</w:t>
      </w:r>
      <w:r w:rsidR="00B80B2C" w:rsidRPr="00DF7074">
        <w:rPr>
          <w:rFonts w:ascii="Times New Roman" w:hAnsi="Times New Roman" w:cs="Times New Roman"/>
          <w:sz w:val="24"/>
          <w:lang w:val="en-US"/>
        </w:rPr>
        <w:t xml:space="preserve">, </w:t>
      </w:r>
      <w:r w:rsidR="003A21AF" w:rsidRPr="00DF7074">
        <w:rPr>
          <w:rFonts w:ascii="Times New Roman" w:hAnsi="Times New Roman" w:cs="Times New Roman"/>
          <w:sz w:val="24"/>
          <w:lang w:val="en-US"/>
        </w:rPr>
        <w:t>Second</w:t>
      </w:r>
      <w:r w:rsidR="00B80B2C" w:rsidRPr="00DF7074">
        <w:rPr>
          <w:rFonts w:ascii="Times New Roman" w:hAnsi="Times New Roman" w:cs="Times New Roman"/>
          <w:sz w:val="24"/>
          <w:lang w:val="en-US"/>
        </w:rPr>
        <w:t xml:space="preserve"> Author </w:t>
      </w:r>
      <w:r w:rsidR="00B80B2C" w:rsidRPr="00DF7074">
        <w:rPr>
          <w:rFonts w:ascii="Times New Roman" w:hAnsi="Times New Roman" w:cs="Times New Roman"/>
          <w:sz w:val="24"/>
          <w:vertAlign w:val="superscript"/>
          <w:lang w:val="en-US"/>
        </w:rPr>
        <w:t>2</w:t>
      </w:r>
      <w:r w:rsidR="00B80B2C" w:rsidRPr="00DF7074">
        <w:rPr>
          <w:rFonts w:ascii="Times New Roman" w:hAnsi="Times New Roman" w:cs="Times New Roman"/>
          <w:sz w:val="24"/>
          <w:lang w:val="en-US"/>
        </w:rPr>
        <w:t xml:space="preserve"> and </w:t>
      </w:r>
      <w:r w:rsidR="003A21AF" w:rsidRPr="00DF7074">
        <w:rPr>
          <w:rFonts w:ascii="Times New Roman" w:hAnsi="Times New Roman" w:cs="Times New Roman"/>
          <w:sz w:val="24"/>
          <w:lang w:val="en-US"/>
        </w:rPr>
        <w:t>Third</w:t>
      </w:r>
      <w:r w:rsidR="00B80B2C" w:rsidRPr="00DF7074">
        <w:rPr>
          <w:rFonts w:ascii="Times New Roman" w:hAnsi="Times New Roman" w:cs="Times New Roman"/>
          <w:sz w:val="24"/>
          <w:lang w:val="en-US"/>
        </w:rPr>
        <w:t xml:space="preserve"> Author </w:t>
      </w:r>
      <w:r w:rsidR="00B80B2C" w:rsidRPr="00DF7074">
        <w:rPr>
          <w:rFonts w:ascii="Times New Roman" w:hAnsi="Times New Roman" w:cs="Times New Roman"/>
          <w:sz w:val="24"/>
          <w:vertAlign w:val="superscript"/>
          <w:lang w:val="en-US"/>
        </w:rPr>
        <w:t>3</w:t>
      </w:r>
    </w:p>
    <w:p w14:paraId="42FE9C14" w14:textId="77777777" w:rsidR="004E4629" w:rsidRPr="00DF7074" w:rsidRDefault="00B80B2C" w:rsidP="00B80B2C">
      <w:pPr>
        <w:spacing w:after="0" w:line="240" w:lineRule="auto"/>
        <w:jc w:val="center"/>
        <w:rPr>
          <w:rFonts w:ascii="Times New Roman" w:hAnsi="Times New Roman" w:cs="Times New Roman"/>
          <w:i/>
          <w:sz w:val="20"/>
          <w:lang w:val="en-US"/>
        </w:rPr>
      </w:pPr>
      <w:r w:rsidRPr="00DF7074">
        <w:rPr>
          <w:rFonts w:ascii="Times New Roman" w:hAnsi="Times New Roman" w:cs="Times New Roman"/>
          <w:i/>
          <w:sz w:val="20"/>
          <w:vertAlign w:val="superscript"/>
          <w:lang w:val="en-US"/>
        </w:rPr>
        <w:t>1</w:t>
      </w:r>
      <w:r w:rsidRPr="00DF7074">
        <w:rPr>
          <w:rFonts w:ascii="Times New Roman" w:hAnsi="Times New Roman" w:cs="Times New Roman"/>
          <w:i/>
          <w:sz w:val="20"/>
          <w:lang w:val="en-US"/>
        </w:rPr>
        <w:t>Department/Research Institute, University, Country</w:t>
      </w:r>
      <w:r w:rsidR="004E4629" w:rsidRPr="00DF7074">
        <w:rPr>
          <w:rFonts w:ascii="Times New Roman" w:hAnsi="Times New Roman" w:cs="Times New Roman"/>
          <w:i/>
          <w:sz w:val="20"/>
          <w:lang w:val="en-US"/>
        </w:rPr>
        <w:t xml:space="preserve"> </w:t>
      </w:r>
    </w:p>
    <w:p w14:paraId="3CB69511" w14:textId="77777777" w:rsidR="00B80B2C" w:rsidRPr="00DF7074" w:rsidRDefault="00B80B2C" w:rsidP="00B80B2C">
      <w:pPr>
        <w:spacing w:after="0" w:line="240" w:lineRule="auto"/>
        <w:jc w:val="center"/>
        <w:rPr>
          <w:rFonts w:ascii="Times New Roman" w:hAnsi="Times New Roman" w:cs="Times New Roman"/>
          <w:i/>
          <w:sz w:val="20"/>
          <w:lang w:val="en-US"/>
        </w:rPr>
      </w:pPr>
      <w:r w:rsidRPr="00DF7074">
        <w:rPr>
          <w:rFonts w:ascii="Times New Roman" w:hAnsi="Times New Roman" w:cs="Times New Roman"/>
          <w:i/>
          <w:sz w:val="20"/>
          <w:vertAlign w:val="superscript"/>
          <w:lang w:val="en-US"/>
        </w:rPr>
        <w:t>2</w:t>
      </w:r>
      <w:r w:rsidRPr="00DF7074">
        <w:rPr>
          <w:rFonts w:ascii="Times New Roman" w:hAnsi="Times New Roman" w:cs="Times New Roman"/>
          <w:i/>
          <w:sz w:val="20"/>
          <w:lang w:val="en-US"/>
        </w:rPr>
        <w:t>Department/Research Institute, University, Country</w:t>
      </w:r>
    </w:p>
    <w:p w14:paraId="438172EF" w14:textId="77777777" w:rsidR="00B80B2C" w:rsidRPr="00DF7074" w:rsidRDefault="00B80B2C" w:rsidP="00B80B2C">
      <w:pPr>
        <w:spacing w:after="0" w:line="240" w:lineRule="auto"/>
        <w:jc w:val="center"/>
        <w:rPr>
          <w:rFonts w:ascii="Times New Roman" w:hAnsi="Times New Roman" w:cs="Times New Roman"/>
          <w:i/>
          <w:sz w:val="20"/>
          <w:lang w:val="en-US"/>
        </w:rPr>
      </w:pPr>
      <w:r w:rsidRPr="00DF7074">
        <w:rPr>
          <w:rFonts w:ascii="Times New Roman" w:hAnsi="Times New Roman" w:cs="Times New Roman"/>
          <w:i/>
          <w:sz w:val="20"/>
          <w:vertAlign w:val="superscript"/>
          <w:lang w:val="en-US"/>
        </w:rPr>
        <w:t>3</w:t>
      </w:r>
      <w:r w:rsidRPr="00DF7074">
        <w:rPr>
          <w:rFonts w:ascii="Times New Roman" w:hAnsi="Times New Roman" w:cs="Times New Roman"/>
          <w:i/>
          <w:sz w:val="20"/>
          <w:lang w:val="en-US"/>
        </w:rPr>
        <w:t>Department/Research Institute, University, Country</w:t>
      </w:r>
    </w:p>
    <w:p w14:paraId="582318C8" w14:textId="77777777" w:rsidR="00231378" w:rsidRPr="00DF7074" w:rsidRDefault="00231378" w:rsidP="00B80B2C">
      <w:pPr>
        <w:spacing w:after="0" w:line="240" w:lineRule="auto"/>
        <w:jc w:val="center"/>
        <w:rPr>
          <w:rFonts w:ascii="Times New Roman" w:hAnsi="Times New Roman" w:cs="Times New Roman"/>
          <w:i/>
          <w:sz w:val="20"/>
          <w:vertAlign w:val="superscript"/>
          <w:lang w:val="en-US"/>
        </w:rPr>
      </w:pPr>
    </w:p>
    <w:p w14:paraId="557AA851" w14:textId="77777777" w:rsidR="00B80B2C" w:rsidRPr="00DF7074" w:rsidRDefault="00B80B2C" w:rsidP="00B80B2C">
      <w:pPr>
        <w:spacing w:after="0" w:line="240" w:lineRule="auto"/>
        <w:jc w:val="center"/>
        <w:rPr>
          <w:rFonts w:ascii="Times New Roman" w:hAnsi="Times New Roman" w:cs="Times New Roman"/>
          <w:i/>
          <w:sz w:val="20"/>
          <w:lang w:val="en-US"/>
        </w:rPr>
      </w:pPr>
      <w:r w:rsidRPr="00DF7074">
        <w:rPr>
          <w:rFonts w:ascii="Times New Roman" w:hAnsi="Times New Roman" w:cs="Times New Roman"/>
          <w:i/>
          <w:sz w:val="20"/>
          <w:vertAlign w:val="superscript"/>
          <w:lang w:val="en-US"/>
        </w:rPr>
        <w:t>*</w:t>
      </w:r>
      <w:r w:rsidRPr="00DF7074">
        <w:rPr>
          <w:rFonts w:ascii="Times New Roman" w:hAnsi="Times New Roman" w:cs="Times New Roman"/>
          <w:i/>
          <w:sz w:val="20"/>
          <w:lang w:val="en-US"/>
        </w:rPr>
        <w:t>(aaa@xxxx.com) Email of the corresponding author</w:t>
      </w:r>
    </w:p>
    <w:p w14:paraId="5D980856" w14:textId="77777777" w:rsidR="00B80B2C" w:rsidRPr="00C66488" w:rsidRDefault="00B80B2C" w:rsidP="00B80B2C">
      <w:pPr>
        <w:spacing w:after="0" w:line="240" w:lineRule="auto"/>
        <w:jc w:val="both"/>
        <w:rPr>
          <w:rFonts w:ascii="Times New Roman" w:hAnsi="Times New Roman" w:cs="Times New Roman"/>
          <w:b/>
          <w:i/>
          <w:lang w:val="en-US"/>
        </w:rPr>
      </w:pPr>
    </w:p>
    <w:p w14:paraId="2C84AE13" w14:textId="77777777" w:rsidR="00B80B2C" w:rsidRPr="00C66488" w:rsidRDefault="00B80B2C" w:rsidP="00B80B2C">
      <w:pPr>
        <w:spacing w:after="0" w:line="240" w:lineRule="auto"/>
        <w:jc w:val="both"/>
        <w:rPr>
          <w:rFonts w:ascii="Times New Roman" w:hAnsi="Times New Roman" w:cs="Times New Roman"/>
          <w:b/>
          <w:i/>
          <w:lang w:val="en-US"/>
        </w:rPr>
      </w:pPr>
    </w:p>
    <w:p w14:paraId="7916D8C7" w14:textId="67C24624" w:rsidR="00B80B2C" w:rsidRPr="00DF7074" w:rsidRDefault="00B80B2C" w:rsidP="007F7949">
      <w:pPr>
        <w:spacing w:after="0" w:line="240" w:lineRule="auto"/>
        <w:jc w:val="both"/>
        <w:rPr>
          <w:rFonts w:ascii="Times New Roman" w:hAnsi="Times New Roman" w:cs="Times New Roman"/>
          <w:sz w:val="28"/>
          <w:szCs w:val="28"/>
          <w:lang w:val="en-US"/>
        </w:rPr>
      </w:pPr>
      <w:r w:rsidRPr="00DF7074">
        <w:rPr>
          <w:rFonts w:ascii="Times New Roman" w:hAnsi="Times New Roman" w:cs="Times New Roman"/>
          <w:b/>
          <w:i/>
          <w:sz w:val="24"/>
          <w:lang w:val="en-US"/>
        </w:rPr>
        <w:t>Abstract –</w:t>
      </w:r>
      <w:r w:rsidRPr="00DF7074">
        <w:rPr>
          <w:rFonts w:ascii="Times New Roman" w:hAnsi="Times New Roman" w:cs="Times New Roman"/>
          <w:lang w:val="en-US"/>
        </w:rPr>
        <w:t xml:space="preserve"> </w:t>
      </w:r>
      <w:r w:rsidR="007F7949" w:rsidRPr="00DF7074">
        <w:rPr>
          <w:rFonts w:ascii="Times New Roman" w:hAnsi="Times New Roman" w:cs="Times New Roman"/>
          <w:sz w:val="24"/>
          <w:lang w:val="en-US"/>
        </w:rPr>
        <w:t xml:space="preserve">This document presents the formatting instructions for the Proceedings of </w:t>
      </w:r>
      <w:r w:rsidR="002E5092" w:rsidRPr="002E5092">
        <w:rPr>
          <w:rFonts w:ascii="Times New Roman" w:hAnsi="Times New Roman" w:cs="Times New Roman"/>
          <w:sz w:val="24"/>
          <w:lang w:val="en-US"/>
        </w:rPr>
        <w:t>International Conference on Innovative Academic Studies</w:t>
      </w:r>
      <w:r w:rsidR="007F7949" w:rsidRPr="00DF7074">
        <w:rPr>
          <w:rFonts w:ascii="Times New Roman" w:hAnsi="Times New Roman" w:cs="Times New Roman"/>
          <w:sz w:val="24"/>
          <w:lang w:val="en-US"/>
        </w:rPr>
        <w:t>. This document can serve as the base template for a Microsoft Word based typesetting system. The abstract should state briefly the purpose of the research, the approach used, the principal results and major conclusions. The abstract</w:t>
      </w:r>
      <w:r w:rsidR="001450D1" w:rsidRPr="00DF7074">
        <w:rPr>
          <w:rFonts w:ascii="Times New Roman" w:hAnsi="Times New Roman" w:cs="Times New Roman"/>
          <w:sz w:val="24"/>
          <w:lang w:val="en-US"/>
        </w:rPr>
        <w:t xml:space="preserve"> of 200-25</w:t>
      </w:r>
      <w:r w:rsidR="007F7949" w:rsidRPr="00DF7074">
        <w:rPr>
          <w:rFonts w:ascii="Times New Roman" w:hAnsi="Times New Roman" w:cs="Times New Roman"/>
          <w:sz w:val="24"/>
          <w:lang w:val="en-US"/>
        </w:rPr>
        <w:t xml:space="preserve">0 words is required. </w:t>
      </w:r>
      <w:r w:rsidR="007F7949" w:rsidRPr="00DF7074">
        <w:rPr>
          <w:rFonts w:ascii="Times New Roman" w:hAnsi="Times New Roman" w:cs="Times New Roman"/>
          <w:sz w:val="32"/>
          <w:szCs w:val="28"/>
          <w:lang w:val="en-US"/>
        </w:rPr>
        <w:t xml:space="preserve"> </w:t>
      </w:r>
    </w:p>
    <w:p w14:paraId="7C874E3D" w14:textId="77777777" w:rsidR="00B80B2C" w:rsidRPr="00B80B2C" w:rsidRDefault="00B80B2C" w:rsidP="00B80B2C">
      <w:pPr>
        <w:spacing w:after="0"/>
        <w:jc w:val="both"/>
        <w:rPr>
          <w:rFonts w:ascii="Times New Roman" w:hAnsi="Times New Roman" w:cs="Times New Roman"/>
          <w:lang w:val="en-US"/>
        </w:rPr>
      </w:pPr>
    </w:p>
    <w:p w14:paraId="6DD1756A" w14:textId="77777777" w:rsidR="00212D0B" w:rsidRPr="00DF7074" w:rsidRDefault="00B80B2C" w:rsidP="00E547B8">
      <w:pPr>
        <w:pBdr>
          <w:bottom w:val="single" w:sz="4" w:space="1" w:color="auto"/>
        </w:pBdr>
        <w:spacing w:after="0"/>
        <w:rPr>
          <w:rFonts w:ascii="Times New Roman" w:hAnsi="Times New Roman" w:cs="Times New Roman"/>
          <w:sz w:val="20"/>
          <w:lang w:val="en-US"/>
        </w:rPr>
      </w:pPr>
      <w:r w:rsidRPr="00DF7074">
        <w:rPr>
          <w:rFonts w:ascii="Times New Roman" w:hAnsi="Times New Roman" w:cs="Times New Roman"/>
          <w:i/>
          <w:sz w:val="20"/>
          <w:lang w:val="en-US"/>
        </w:rPr>
        <w:t>Keywords –</w:t>
      </w:r>
      <w:r w:rsidRPr="00DF7074">
        <w:rPr>
          <w:rFonts w:ascii="Times New Roman" w:hAnsi="Times New Roman" w:cs="Times New Roman"/>
          <w:sz w:val="20"/>
          <w:lang w:val="en-US"/>
        </w:rPr>
        <w:t xml:space="preserve"> </w:t>
      </w:r>
      <w:r w:rsidR="009A38FD" w:rsidRPr="00DF7074">
        <w:rPr>
          <w:rFonts w:ascii="Times New Roman" w:hAnsi="Times New Roman" w:cs="Times New Roman"/>
          <w:i/>
          <w:sz w:val="20"/>
          <w:lang w:val="en-US"/>
        </w:rPr>
        <w:t>Include at least 5 keywords or phrases</w:t>
      </w:r>
    </w:p>
    <w:p w14:paraId="17925C12" w14:textId="77777777" w:rsidR="00B80B2C" w:rsidRPr="00B80B2C" w:rsidRDefault="00B80B2C" w:rsidP="00B80B2C">
      <w:pPr>
        <w:spacing w:after="0"/>
        <w:rPr>
          <w:rFonts w:ascii="Times New Roman" w:hAnsi="Times New Roman" w:cs="Times New Roman"/>
          <w:sz w:val="20"/>
          <w:lang w:val="en-US"/>
        </w:rPr>
      </w:pPr>
    </w:p>
    <w:p w14:paraId="64E2DC0E" w14:textId="77777777" w:rsidR="007F7949" w:rsidRDefault="007F7949" w:rsidP="00B80B2C">
      <w:pPr>
        <w:rPr>
          <w:rFonts w:ascii="Times New Roman" w:hAnsi="Times New Roman" w:cs="Times New Roman"/>
          <w:lang w:val="en-US"/>
        </w:rPr>
        <w:sectPr w:rsidR="007F7949" w:rsidSect="008B5AB8">
          <w:headerReference w:type="default" r:id="rId7"/>
          <w:footerReference w:type="default" r:id="rId8"/>
          <w:headerReference w:type="first" r:id="rId9"/>
          <w:footerReference w:type="first" r:id="rId10"/>
          <w:pgSz w:w="11907" w:h="16840" w:code="9"/>
          <w:pgMar w:top="1373" w:right="851" w:bottom="851" w:left="851" w:header="709" w:footer="709" w:gutter="0"/>
          <w:cols w:space="708"/>
          <w:titlePg/>
          <w:docGrid w:linePitch="360"/>
        </w:sectPr>
      </w:pPr>
    </w:p>
    <w:p w14:paraId="6E20E3CB" w14:textId="77777777" w:rsidR="007F7949" w:rsidRPr="00DF7074" w:rsidRDefault="007F7949" w:rsidP="00C66488">
      <w:pPr>
        <w:pStyle w:val="IEEEHeading1"/>
        <w:jc w:val="left"/>
        <w:rPr>
          <w:sz w:val="24"/>
          <w:lang w:val="en-US"/>
        </w:rPr>
      </w:pPr>
      <w:r w:rsidRPr="00DF7074">
        <w:rPr>
          <w:sz w:val="24"/>
          <w:lang w:val="en-US"/>
        </w:rPr>
        <w:t>Introduction</w:t>
      </w:r>
    </w:p>
    <w:p w14:paraId="7ECFD35C" w14:textId="37E9D5AF" w:rsidR="007F7949" w:rsidRPr="00DF7074" w:rsidRDefault="007F7949" w:rsidP="000C3D46">
      <w:pPr>
        <w:pStyle w:val="IEEEParagraph"/>
        <w:ind w:firstLine="170"/>
        <w:rPr>
          <w:sz w:val="24"/>
          <w:lang w:val="en-US"/>
        </w:rPr>
      </w:pPr>
      <w:r w:rsidRPr="00DF7074">
        <w:rPr>
          <w:sz w:val="24"/>
          <w:lang w:val="en-US"/>
        </w:rPr>
        <w:t xml:space="preserve">This document represents a template for </w:t>
      </w:r>
      <w:r w:rsidR="001450D1" w:rsidRPr="00DF7074">
        <w:rPr>
          <w:sz w:val="24"/>
          <w:lang w:val="en-US"/>
        </w:rPr>
        <w:t>IC</w:t>
      </w:r>
      <w:r w:rsidR="002E5092">
        <w:rPr>
          <w:sz w:val="24"/>
          <w:lang w:val="en-US"/>
        </w:rPr>
        <w:t>IA</w:t>
      </w:r>
      <w:r w:rsidR="001E40E2" w:rsidRPr="00DF7074">
        <w:rPr>
          <w:sz w:val="24"/>
          <w:lang w:val="en-US"/>
        </w:rPr>
        <w:t>S</w:t>
      </w:r>
      <w:r w:rsidRPr="00DF7074">
        <w:rPr>
          <w:sz w:val="24"/>
          <w:lang w:val="en-US"/>
        </w:rPr>
        <w:t>. It can be downloaded from the conference website</w:t>
      </w:r>
      <w:r w:rsidR="00CC2C38" w:rsidRPr="00DF7074">
        <w:rPr>
          <w:sz w:val="24"/>
          <w:lang w:val="en-US"/>
        </w:rPr>
        <w:t xml:space="preserve"> </w:t>
      </w:r>
      <w:r w:rsidRPr="00DF7074">
        <w:rPr>
          <w:sz w:val="24"/>
          <w:lang w:val="en-US"/>
        </w:rPr>
        <w:t xml:space="preserve">and used as a reference in the typesetting of the final paper to be included in the conference proceedings. Extra information regarding the submission procedure is available at the conference website. Any question regarding the template or paper guidelines must be directed to </w:t>
      </w:r>
      <w:r w:rsidR="00CC2C38" w:rsidRPr="00DF7074">
        <w:rPr>
          <w:rStyle w:val="Kpr"/>
          <w:i/>
          <w:iCs/>
          <w:sz w:val="24"/>
          <w:lang w:val="tr-TR"/>
        </w:rPr>
        <w:t>allsciencesacademy@gmail.com</w:t>
      </w:r>
      <w:r w:rsidR="001450D1" w:rsidRPr="00DF7074">
        <w:rPr>
          <w:rStyle w:val="Kpr"/>
          <w:i/>
          <w:iCs/>
          <w:sz w:val="24"/>
          <w:lang w:val="en-US"/>
        </w:rPr>
        <w:t>.</w:t>
      </w:r>
    </w:p>
    <w:p w14:paraId="05EC70EE" w14:textId="77777777" w:rsidR="007F7949" w:rsidRPr="00DF7074" w:rsidRDefault="00E547B8" w:rsidP="00C66488">
      <w:pPr>
        <w:pStyle w:val="IEEEHeading1"/>
        <w:jc w:val="left"/>
        <w:rPr>
          <w:sz w:val="24"/>
        </w:rPr>
      </w:pPr>
      <w:r w:rsidRPr="00DF7074">
        <w:rPr>
          <w:sz w:val="24"/>
        </w:rPr>
        <w:t>Materials and Method</w:t>
      </w:r>
    </w:p>
    <w:p w14:paraId="5AB4FB5A" w14:textId="77777777" w:rsidR="007F7949" w:rsidRPr="00DF7074" w:rsidRDefault="00E03D4C" w:rsidP="00CC2C38">
      <w:pPr>
        <w:pStyle w:val="IEEEParagraph"/>
        <w:rPr>
          <w:sz w:val="24"/>
        </w:rPr>
      </w:pPr>
      <w:r w:rsidRPr="00DF7074">
        <w:rPr>
          <w:sz w:val="24"/>
          <w:lang w:val="en-US"/>
        </w:rPr>
        <w:t>Describe in detail the materials and methods used when conducting the study. The citations you make from different sources must be given and referenced in references</w:t>
      </w:r>
      <w:r w:rsidR="007F7949" w:rsidRPr="00DF7074">
        <w:rPr>
          <w:sz w:val="24"/>
        </w:rPr>
        <w:t xml:space="preserve">. </w:t>
      </w:r>
    </w:p>
    <w:p w14:paraId="6C1BA1EE" w14:textId="77777777" w:rsidR="007F7949" w:rsidRPr="00DF7074" w:rsidRDefault="00B757B4" w:rsidP="007F7949">
      <w:pPr>
        <w:pStyle w:val="IEEEHeading2"/>
        <w:numPr>
          <w:ilvl w:val="0"/>
          <w:numId w:val="3"/>
        </w:numPr>
        <w:rPr>
          <w:sz w:val="24"/>
        </w:rPr>
      </w:pPr>
      <w:proofErr w:type="gramStart"/>
      <w:r w:rsidRPr="00DF7074">
        <w:rPr>
          <w:sz w:val="24"/>
        </w:rPr>
        <w:t>Level-2</w:t>
      </w:r>
      <w:proofErr w:type="gramEnd"/>
      <w:r w:rsidRPr="00DF7074">
        <w:rPr>
          <w:sz w:val="24"/>
        </w:rPr>
        <w:t xml:space="preserve"> Heading</w:t>
      </w:r>
    </w:p>
    <w:p w14:paraId="7B20196C" w14:textId="77777777" w:rsidR="00B757B4" w:rsidRPr="00DF7074" w:rsidRDefault="00B757B4" w:rsidP="000C3D46">
      <w:pPr>
        <w:pStyle w:val="IEEEParagraph"/>
        <w:ind w:firstLine="170"/>
        <w:rPr>
          <w:sz w:val="24"/>
        </w:rPr>
      </w:pPr>
      <w:proofErr w:type="gramStart"/>
      <w:r w:rsidRPr="00DF7074">
        <w:rPr>
          <w:sz w:val="24"/>
        </w:rPr>
        <w:t>Level-2</w:t>
      </w:r>
      <w:proofErr w:type="gramEnd"/>
      <w:r w:rsidRPr="00DF7074">
        <w:rPr>
          <w:sz w:val="24"/>
        </w:rPr>
        <w:t xml:space="preserve"> and level-3 headings can be used to detail main headings.</w:t>
      </w:r>
    </w:p>
    <w:p w14:paraId="197C4F14" w14:textId="77777777" w:rsidR="00B757B4" w:rsidRPr="00DF7074" w:rsidRDefault="00B757B4" w:rsidP="00B757B4">
      <w:pPr>
        <w:pStyle w:val="IEEEHeading2"/>
        <w:rPr>
          <w:sz w:val="24"/>
          <w:lang w:val="en-GB"/>
        </w:rPr>
      </w:pPr>
      <w:r w:rsidRPr="00DF7074">
        <w:rPr>
          <w:sz w:val="24"/>
          <w:lang w:val="en-GB"/>
        </w:rPr>
        <w:t>Figures and Tables</w:t>
      </w:r>
    </w:p>
    <w:p w14:paraId="50F27C12" w14:textId="77777777" w:rsidR="00B757B4" w:rsidRPr="00DF7074" w:rsidRDefault="00B757B4" w:rsidP="00B757B4">
      <w:pPr>
        <w:pStyle w:val="IEEEParagraph"/>
        <w:ind w:firstLine="170"/>
        <w:rPr>
          <w:sz w:val="24"/>
          <w:lang w:val="en-GB"/>
        </w:rPr>
      </w:pPr>
      <w:r w:rsidRPr="00DF7074">
        <w:rPr>
          <w:sz w:val="24"/>
          <w:lang w:val="en-GB"/>
        </w:rPr>
        <w:t xml:space="preserve">Figures and tables must be </w:t>
      </w:r>
      <w:proofErr w:type="spellStart"/>
      <w:r w:rsidRPr="00DF7074">
        <w:rPr>
          <w:sz w:val="24"/>
          <w:lang w:val="en-GB"/>
        </w:rPr>
        <w:t>centered</w:t>
      </w:r>
      <w:proofErr w:type="spellEnd"/>
      <w:r w:rsidRPr="00DF7074">
        <w:rPr>
          <w:sz w:val="24"/>
          <w:lang w:val="en-GB"/>
        </w:rPr>
        <w:t xml:space="preserve"> in the column.  Large figures and tables may span across both columns.  Any table or figure that takes up more than 1 column width must be positioned either at the top or at the bottom of the page.</w:t>
      </w:r>
    </w:p>
    <w:p w14:paraId="018E9529" w14:textId="77777777" w:rsidR="00B757B4" w:rsidRDefault="00B757B4" w:rsidP="00B757B4">
      <w:pPr>
        <w:pStyle w:val="IEEEParagraph"/>
        <w:ind w:firstLine="170"/>
        <w:rPr>
          <w:lang w:val="en-GB"/>
        </w:rPr>
      </w:pPr>
      <w:r>
        <w:rPr>
          <w:lang w:val="en-GB"/>
        </w:rPr>
        <w:t>.</w:t>
      </w:r>
    </w:p>
    <w:p w14:paraId="55FCF878" w14:textId="78EFAC11" w:rsidR="00B757B4" w:rsidRDefault="00DD49F3" w:rsidP="00B757B4">
      <w:pPr>
        <w:pStyle w:val="IEEEFigure"/>
      </w:pPr>
      <w:r>
        <w:rPr>
          <w:noProof/>
        </w:rPr>
        <w:drawing>
          <wp:inline distT="0" distB="0" distL="0" distR="0" wp14:anchorId="6B0D20FB" wp14:editId="073BC706">
            <wp:extent cx="1213908" cy="1043664"/>
            <wp:effectExtent l="0" t="0" r="5715" b="4445"/>
            <wp:docPr id="172363966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639663" name="Resim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13908" cy="1043664"/>
                    </a:xfrm>
                    <a:prstGeom prst="rect">
                      <a:avLst/>
                    </a:prstGeom>
                    <a:noFill/>
                  </pic:spPr>
                </pic:pic>
              </a:graphicData>
            </a:graphic>
          </wp:inline>
        </w:drawing>
      </w:r>
    </w:p>
    <w:p w14:paraId="64D504BC" w14:textId="77777777" w:rsidR="00B757B4" w:rsidRPr="00C66488" w:rsidRDefault="00231378" w:rsidP="00B757B4">
      <w:pPr>
        <w:pStyle w:val="IEEEFigureCaptionSingle-Line"/>
        <w:rPr>
          <w:sz w:val="20"/>
        </w:rPr>
      </w:pPr>
      <w:r>
        <w:rPr>
          <w:sz w:val="20"/>
        </w:rPr>
        <w:t xml:space="preserve">Fig. 1 </w:t>
      </w:r>
      <w:r w:rsidR="00B757B4" w:rsidRPr="00C66488">
        <w:rPr>
          <w:sz w:val="20"/>
        </w:rPr>
        <w:t xml:space="preserve">Example of an image </w:t>
      </w:r>
    </w:p>
    <w:p w14:paraId="5B23903D" w14:textId="77777777" w:rsidR="00A443BC" w:rsidRPr="00DF7074" w:rsidRDefault="00A443BC" w:rsidP="00A443BC">
      <w:pPr>
        <w:pStyle w:val="IEEEParagraph"/>
        <w:ind w:firstLine="170"/>
        <w:rPr>
          <w:sz w:val="24"/>
          <w:lang w:val="en-GB"/>
        </w:rPr>
      </w:pPr>
      <w:r w:rsidRPr="00DF7074">
        <w:rPr>
          <w:sz w:val="24"/>
          <w:lang w:val="en-GB"/>
        </w:rPr>
        <w:t>An example of the table is given below.</w:t>
      </w:r>
    </w:p>
    <w:p w14:paraId="2AE34AF5" w14:textId="02110C36" w:rsidR="00CC2C38" w:rsidRPr="00CC2C38" w:rsidRDefault="00000000" w:rsidP="00CC2C38">
      <w:pPr>
        <w:tabs>
          <w:tab w:val="left" w:pos="720"/>
          <w:tab w:val="left" w:pos="1440"/>
          <w:tab w:val="center" w:pos="4251"/>
        </w:tabs>
        <w:spacing w:after="0" w:line="240" w:lineRule="auto"/>
        <w:jc w:val="right"/>
        <w:rPr>
          <w:rFonts w:ascii="Times New Roman" w:hAnsi="Times New Roman" w:cs="Times New Roman"/>
          <w:noProof/>
          <w:szCs w:val="24"/>
        </w:rPr>
      </w:pPr>
      <m:oMath>
        <m:sSub>
          <m:sSubPr>
            <m:ctrlPr>
              <w:rPr>
                <w:rFonts w:ascii="Cambria Math" w:hAnsi="Cambria Math" w:cs="Times New Roman"/>
                <w:noProof/>
                <w:szCs w:val="24"/>
              </w:rPr>
            </m:ctrlPr>
          </m:sSubPr>
          <m:e>
            <m:r>
              <m:rPr>
                <m:sty m:val="p"/>
              </m:rPr>
              <w:rPr>
                <w:rFonts w:ascii="Cambria Math" w:hAnsi="Cambria Math" w:cs="Times New Roman"/>
                <w:noProof/>
                <w:szCs w:val="24"/>
              </w:rPr>
              <m:t>r</m:t>
            </m:r>
          </m:e>
          <m:sub>
            <m:r>
              <m:rPr>
                <m:sty m:val="p"/>
              </m:rPr>
              <w:rPr>
                <w:rFonts w:ascii="Cambria Math" w:hAnsi="Cambria Math" w:cs="Times New Roman"/>
                <w:noProof/>
                <w:szCs w:val="24"/>
              </w:rPr>
              <m:t xml:space="preserve">m </m:t>
            </m:r>
          </m:sub>
        </m:sSub>
        <m:r>
          <m:rPr>
            <m:sty m:val="p"/>
          </m:rPr>
          <w:rPr>
            <w:rFonts w:ascii="Cambria Math" w:hAnsi="Cambria Math" w:cs="Times New Roman"/>
            <w:noProof/>
            <w:szCs w:val="24"/>
          </w:rPr>
          <m:t>=</m:t>
        </m:r>
        <m:rad>
          <m:radPr>
            <m:degHide m:val="1"/>
            <m:ctrlPr>
              <w:rPr>
                <w:rFonts w:ascii="Cambria Math" w:hAnsi="Cambria Math" w:cs="Times New Roman"/>
                <w:noProof/>
                <w:szCs w:val="24"/>
              </w:rPr>
            </m:ctrlPr>
          </m:radPr>
          <m:deg/>
          <m:e>
            <m:f>
              <m:fPr>
                <m:ctrlPr>
                  <w:rPr>
                    <w:rFonts w:ascii="Cambria Math" w:hAnsi="Cambria Math" w:cs="Times New Roman"/>
                    <w:noProof/>
                    <w:szCs w:val="24"/>
                  </w:rPr>
                </m:ctrlPr>
              </m:fPr>
              <m:num>
                <m:d>
                  <m:dPr>
                    <m:ctrlPr>
                      <w:rPr>
                        <w:rFonts w:ascii="Cambria Math" w:hAnsi="Cambria Math" w:cs="Times New Roman"/>
                        <w:noProof/>
                        <w:szCs w:val="24"/>
                      </w:rPr>
                    </m:ctrlPr>
                  </m:dPr>
                  <m:e>
                    <m:r>
                      <m:rPr>
                        <m:sty m:val="p"/>
                      </m:rPr>
                      <w:rPr>
                        <w:rFonts w:ascii="Cambria Math" w:hAnsi="Cambria Math" w:cs="Times New Roman"/>
                        <w:noProof/>
                        <w:szCs w:val="24"/>
                      </w:rPr>
                      <m:t>2,9-1,75ε</m:t>
                    </m:r>
                  </m:e>
                </m:d>
                <m:r>
                  <m:rPr>
                    <m:sty m:val="p"/>
                  </m:rPr>
                  <w:rPr>
                    <w:rFonts w:ascii="Cambria Math" w:hAnsi="Cambria Math" w:cs="Times New Roman"/>
                    <w:noProof/>
                    <w:szCs w:val="24"/>
                  </w:rPr>
                  <m:t xml:space="preserve"> x 8ηlQ</m:t>
                </m:r>
              </m:num>
              <m:den>
                <m:r>
                  <m:rPr>
                    <m:sty m:val="p"/>
                  </m:rPr>
                  <w:rPr>
                    <w:rFonts w:ascii="Cambria Math" w:hAnsi="Cambria Math" w:cs="Times New Roman"/>
                    <w:noProof/>
                    <w:szCs w:val="24"/>
                  </w:rPr>
                  <m:t>ε x A x ∆P</m:t>
                </m:r>
              </m:den>
            </m:f>
          </m:e>
        </m:rad>
      </m:oMath>
      <w:r w:rsidR="00CC2C38" w:rsidRPr="00CC2C38">
        <w:rPr>
          <w:rFonts w:ascii="Times New Roman" w:hAnsi="Times New Roman" w:cs="Times New Roman"/>
          <w:noProof/>
          <w:szCs w:val="24"/>
        </w:rPr>
        <w:tab/>
      </w:r>
      <w:r w:rsidR="00CC2C38" w:rsidRPr="00CC2C38">
        <w:rPr>
          <w:rFonts w:ascii="Times New Roman" w:hAnsi="Times New Roman" w:cs="Times New Roman"/>
          <w:noProof/>
          <w:szCs w:val="24"/>
        </w:rPr>
        <w:tab/>
      </w:r>
      <w:r w:rsidR="00CC2C38" w:rsidRPr="00CC2C38">
        <w:rPr>
          <w:rFonts w:ascii="Times New Roman" w:hAnsi="Times New Roman" w:cs="Times New Roman"/>
          <w:noProof/>
          <w:szCs w:val="24"/>
        </w:rPr>
        <w:tab/>
      </w:r>
      <w:r w:rsidR="00CC2C38" w:rsidRPr="00CC2C38">
        <w:rPr>
          <w:rFonts w:ascii="Times New Roman" w:hAnsi="Times New Roman" w:cs="Times New Roman"/>
          <w:noProof/>
          <w:szCs w:val="24"/>
        </w:rPr>
        <w:tab/>
      </w:r>
      <w:r w:rsidR="00CC2C38" w:rsidRPr="00CC2C38">
        <w:rPr>
          <w:rFonts w:ascii="Times New Roman" w:hAnsi="Times New Roman" w:cs="Times New Roman"/>
          <w:noProof/>
          <w:szCs w:val="24"/>
        </w:rPr>
        <w:tab/>
        <w:t xml:space="preserve">                                   </w:t>
      </w:r>
      <w:r w:rsidR="00CC2C38" w:rsidRPr="00CC2C38">
        <w:rPr>
          <w:rFonts w:ascii="Times New Roman" w:hAnsi="Times New Roman" w:cs="Times New Roman"/>
          <w:noProof/>
          <w:szCs w:val="24"/>
        </w:rPr>
        <w:tab/>
      </w:r>
      <w:r w:rsidR="00CC2C38" w:rsidRPr="00CC2C38">
        <w:rPr>
          <w:rFonts w:ascii="Times New Roman" w:hAnsi="Times New Roman" w:cs="Times New Roman"/>
          <w:noProof/>
          <w:szCs w:val="24"/>
        </w:rPr>
        <w:tab/>
        <w:t>(</w:t>
      </w:r>
      <w:r w:rsidR="00CC2C38">
        <w:rPr>
          <w:rFonts w:ascii="Times New Roman" w:hAnsi="Times New Roman" w:cs="Times New Roman"/>
          <w:noProof/>
          <w:szCs w:val="24"/>
        </w:rPr>
        <w:t>1</w:t>
      </w:r>
      <w:r w:rsidR="00CC2C38" w:rsidRPr="00CC2C38">
        <w:rPr>
          <w:rFonts w:ascii="Times New Roman" w:hAnsi="Times New Roman" w:cs="Times New Roman"/>
          <w:noProof/>
          <w:szCs w:val="24"/>
        </w:rPr>
        <w:t>)</w:t>
      </w:r>
    </w:p>
    <w:p w14:paraId="781C4F19" w14:textId="77777777" w:rsidR="00A443BC" w:rsidRPr="00C66488" w:rsidRDefault="00A443BC" w:rsidP="00A443BC">
      <w:pPr>
        <w:pStyle w:val="IEEEFigureCaptionSingle-Line"/>
        <w:rPr>
          <w:sz w:val="20"/>
        </w:rPr>
      </w:pPr>
      <w:r w:rsidRPr="00C66488">
        <w:rPr>
          <w:sz w:val="20"/>
        </w:rPr>
        <w:lastRenderedPageBreak/>
        <w:t>Table 1. Example of a table</w:t>
      </w:r>
    </w:p>
    <w:tbl>
      <w:tblPr>
        <w:tblW w:w="4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1134"/>
        <w:gridCol w:w="1985"/>
      </w:tblGrid>
      <w:tr w:rsidR="00A443BC" w:rsidRPr="00CC2C38" w14:paraId="00E81CFE" w14:textId="77777777" w:rsidTr="00CC2C38">
        <w:trPr>
          <w:jc w:val="center"/>
        </w:trPr>
        <w:tc>
          <w:tcPr>
            <w:tcW w:w="1588" w:type="dxa"/>
            <w:vAlign w:val="center"/>
          </w:tcPr>
          <w:p w14:paraId="71136219" w14:textId="77777777" w:rsidR="00A443BC" w:rsidRPr="00CC2C38" w:rsidRDefault="00A443BC" w:rsidP="009153B0">
            <w:pPr>
              <w:pStyle w:val="IEEEParagraph"/>
              <w:ind w:firstLine="0"/>
              <w:jc w:val="center"/>
              <w:rPr>
                <w:b/>
                <w:szCs w:val="20"/>
              </w:rPr>
            </w:pPr>
            <w:r w:rsidRPr="00CC2C38">
              <w:rPr>
                <w:b/>
                <w:szCs w:val="20"/>
              </w:rPr>
              <w:t>Head 1</w:t>
            </w:r>
          </w:p>
        </w:tc>
        <w:tc>
          <w:tcPr>
            <w:tcW w:w="1134" w:type="dxa"/>
            <w:vAlign w:val="center"/>
          </w:tcPr>
          <w:p w14:paraId="0FA74834" w14:textId="77777777" w:rsidR="00A443BC" w:rsidRPr="00CC2C38" w:rsidRDefault="00A443BC" w:rsidP="009153B0">
            <w:pPr>
              <w:pStyle w:val="IEEEParagraph"/>
              <w:ind w:firstLine="0"/>
              <w:jc w:val="center"/>
              <w:rPr>
                <w:b/>
                <w:szCs w:val="20"/>
              </w:rPr>
            </w:pPr>
            <w:r w:rsidRPr="00CC2C38">
              <w:rPr>
                <w:b/>
                <w:szCs w:val="20"/>
              </w:rPr>
              <w:t>Head 2</w:t>
            </w:r>
          </w:p>
        </w:tc>
        <w:tc>
          <w:tcPr>
            <w:tcW w:w="1985" w:type="dxa"/>
            <w:vAlign w:val="center"/>
          </w:tcPr>
          <w:p w14:paraId="1F89B4C1" w14:textId="77777777" w:rsidR="00A443BC" w:rsidRPr="00CC2C38" w:rsidRDefault="00A443BC" w:rsidP="009153B0">
            <w:pPr>
              <w:pStyle w:val="IEEEParagraph"/>
              <w:ind w:firstLine="0"/>
              <w:jc w:val="center"/>
              <w:rPr>
                <w:b/>
                <w:szCs w:val="20"/>
              </w:rPr>
            </w:pPr>
            <w:r w:rsidRPr="00CC2C38">
              <w:rPr>
                <w:b/>
                <w:szCs w:val="20"/>
              </w:rPr>
              <w:t>Head 3</w:t>
            </w:r>
          </w:p>
        </w:tc>
      </w:tr>
      <w:tr w:rsidR="00A443BC" w:rsidRPr="00CC2C38" w14:paraId="6645FC47" w14:textId="77777777" w:rsidTr="00CC2C38">
        <w:trPr>
          <w:jc w:val="center"/>
        </w:trPr>
        <w:tc>
          <w:tcPr>
            <w:tcW w:w="1588" w:type="dxa"/>
            <w:vAlign w:val="center"/>
          </w:tcPr>
          <w:p w14:paraId="63ACFDAF" w14:textId="77777777" w:rsidR="00A443BC" w:rsidRPr="00CC2C38" w:rsidRDefault="00A443BC" w:rsidP="009153B0">
            <w:pPr>
              <w:pStyle w:val="IEEEParagraph"/>
              <w:ind w:firstLine="0"/>
              <w:jc w:val="center"/>
              <w:rPr>
                <w:szCs w:val="20"/>
              </w:rPr>
            </w:pPr>
            <w:r w:rsidRPr="00CC2C38">
              <w:rPr>
                <w:szCs w:val="20"/>
              </w:rPr>
              <w:t xml:space="preserve">----- </w:t>
            </w:r>
          </w:p>
        </w:tc>
        <w:tc>
          <w:tcPr>
            <w:tcW w:w="1134" w:type="dxa"/>
            <w:vAlign w:val="center"/>
          </w:tcPr>
          <w:p w14:paraId="7E8D125D" w14:textId="77777777" w:rsidR="00A443BC" w:rsidRPr="00CC2C38" w:rsidRDefault="00A443BC" w:rsidP="009153B0">
            <w:pPr>
              <w:pStyle w:val="IEEEParagraph"/>
              <w:ind w:firstLine="0"/>
              <w:jc w:val="center"/>
              <w:rPr>
                <w:szCs w:val="20"/>
              </w:rPr>
            </w:pPr>
            <w:r w:rsidRPr="00CC2C38">
              <w:rPr>
                <w:szCs w:val="20"/>
              </w:rPr>
              <w:t>---</w:t>
            </w:r>
          </w:p>
        </w:tc>
        <w:tc>
          <w:tcPr>
            <w:tcW w:w="1985" w:type="dxa"/>
            <w:vAlign w:val="center"/>
          </w:tcPr>
          <w:p w14:paraId="050685C1" w14:textId="77777777" w:rsidR="00A443BC" w:rsidRPr="00CC2C38" w:rsidRDefault="00A443BC" w:rsidP="009153B0">
            <w:pPr>
              <w:pStyle w:val="IEEEParagraph"/>
              <w:ind w:firstLine="0"/>
              <w:jc w:val="center"/>
              <w:rPr>
                <w:szCs w:val="20"/>
              </w:rPr>
            </w:pPr>
            <w:r w:rsidRPr="00CC2C38">
              <w:rPr>
                <w:szCs w:val="20"/>
              </w:rPr>
              <w:t>---</w:t>
            </w:r>
          </w:p>
        </w:tc>
      </w:tr>
      <w:tr w:rsidR="00A443BC" w:rsidRPr="00CC2C38" w14:paraId="539DB88A" w14:textId="77777777" w:rsidTr="00CC2C38">
        <w:trPr>
          <w:jc w:val="center"/>
        </w:trPr>
        <w:tc>
          <w:tcPr>
            <w:tcW w:w="1588" w:type="dxa"/>
            <w:vAlign w:val="center"/>
          </w:tcPr>
          <w:p w14:paraId="25EC0E5B" w14:textId="77777777" w:rsidR="00A443BC" w:rsidRPr="00CC2C38" w:rsidRDefault="00A443BC" w:rsidP="009153B0">
            <w:pPr>
              <w:pStyle w:val="IEEEParagraph"/>
              <w:ind w:firstLine="0"/>
              <w:jc w:val="center"/>
              <w:rPr>
                <w:szCs w:val="20"/>
              </w:rPr>
            </w:pPr>
          </w:p>
        </w:tc>
        <w:tc>
          <w:tcPr>
            <w:tcW w:w="1134" w:type="dxa"/>
            <w:vAlign w:val="center"/>
          </w:tcPr>
          <w:p w14:paraId="6BEF7560" w14:textId="77777777" w:rsidR="00A443BC" w:rsidRPr="00CC2C38" w:rsidRDefault="00A443BC" w:rsidP="009153B0">
            <w:pPr>
              <w:pStyle w:val="IEEEParagraph"/>
              <w:ind w:firstLine="0"/>
              <w:jc w:val="center"/>
              <w:rPr>
                <w:szCs w:val="20"/>
              </w:rPr>
            </w:pPr>
          </w:p>
        </w:tc>
        <w:tc>
          <w:tcPr>
            <w:tcW w:w="1985" w:type="dxa"/>
            <w:vAlign w:val="center"/>
          </w:tcPr>
          <w:p w14:paraId="5C76C62E" w14:textId="77777777" w:rsidR="00A443BC" w:rsidRPr="00CC2C38" w:rsidRDefault="00A443BC" w:rsidP="009153B0">
            <w:pPr>
              <w:pStyle w:val="IEEEParagraph"/>
              <w:ind w:firstLine="0"/>
              <w:jc w:val="center"/>
              <w:rPr>
                <w:szCs w:val="20"/>
              </w:rPr>
            </w:pPr>
          </w:p>
        </w:tc>
      </w:tr>
      <w:tr w:rsidR="00A443BC" w:rsidRPr="00CC2C38" w14:paraId="092183DB" w14:textId="77777777" w:rsidTr="00CC2C38">
        <w:trPr>
          <w:jc w:val="center"/>
        </w:trPr>
        <w:tc>
          <w:tcPr>
            <w:tcW w:w="1588" w:type="dxa"/>
            <w:vAlign w:val="center"/>
          </w:tcPr>
          <w:p w14:paraId="64BD5A33" w14:textId="77777777" w:rsidR="00A443BC" w:rsidRPr="00CC2C38" w:rsidRDefault="00A443BC" w:rsidP="009153B0">
            <w:pPr>
              <w:pStyle w:val="IEEEParagraph"/>
              <w:ind w:firstLine="0"/>
              <w:jc w:val="center"/>
              <w:rPr>
                <w:szCs w:val="20"/>
              </w:rPr>
            </w:pPr>
          </w:p>
        </w:tc>
        <w:tc>
          <w:tcPr>
            <w:tcW w:w="1134" w:type="dxa"/>
            <w:vAlign w:val="center"/>
          </w:tcPr>
          <w:p w14:paraId="4F3A4F16" w14:textId="77777777" w:rsidR="00A443BC" w:rsidRPr="00CC2C38" w:rsidRDefault="00A443BC" w:rsidP="009153B0">
            <w:pPr>
              <w:pStyle w:val="IEEEParagraph"/>
              <w:ind w:firstLine="0"/>
              <w:jc w:val="center"/>
              <w:rPr>
                <w:szCs w:val="20"/>
              </w:rPr>
            </w:pPr>
          </w:p>
        </w:tc>
        <w:tc>
          <w:tcPr>
            <w:tcW w:w="1985" w:type="dxa"/>
            <w:vAlign w:val="center"/>
          </w:tcPr>
          <w:p w14:paraId="0AF8E2CD" w14:textId="77777777" w:rsidR="00A443BC" w:rsidRPr="00CC2C38" w:rsidRDefault="00A443BC" w:rsidP="009153B0">
            <w:pPr>
              <w:pStyle w:val="IEEEParagraph"/>
              <w:ind w:firstLine="0"/>
              <w:jc w:val="center"/>
              <w:rPr>
                <w:szCs w:val="20"/>
              </w:rPr>
            </w:pPr>
          </w:p>
        </w:tc>
      </w:tr>
      <w:tr w:rsidR="00A443BC" w:rsidRPr="00CC2C38" w14:paraId="57DFE0C0" w14:textId="77777777" w:rsidTr="00CC2C38">
        <w:trPr>
          <w:jc w:val="center"/>
        </w:trPr>
        <w:tc>
          <w:tcPr>
            <w:tcW w:w="1588" w:type="dxa"/>
            <w:vAlign w:val="center"/>
          </w:tcPr>
          <w:p w14:paraId="65CC1091" w14:textId="77777777" w:rsidR="00A443BC" w:rsidRPr="00CC2C38" w:rsidRDefault="00A443BC" w:rsidP="009153B0">
            <w:pPr>
              <w:pStyle w:val="IEEEParagraph"/>
              <w:ind w:firstLine="0"/>
              <w:jc w:val="center"/>
              <w:rPr>
                <w:szCs w:val="20"/>
              </w:rPr>
            </w:pPr>
          </w:p>
        </w:tc>
        <w:tc>
          <w:tcPr>
            <w:tcW w:w="1134" w:type="dxa"/>
            <w:vAlign w:val="center"/>
          </w:tcPr>
          <w:p w14:paraId="60A48ABA" w14:textId="77777777" w:rsidR="00A443BC" w:rsidRPr="00CC2C38" w:rsidRDefault="00A443BC" w:rsidP="009153B0">
            <w:pPr>
              <w:pStyle w:val="IEEEParagraph"/>
              <w:ind w:firstLine="0"/>
              <w:jc w:val="center"/>
              <w:rPr>
                <w:szCs w:val="20"/>
              </w:rPr>
            </w:pPr>
          </w:p>
        </w:tc>
        <w:tc>
          <w:tcPr>
            <w:tcW w:w="1985" w:type="dxa"/>
            <w:vAlign w:val="center"/>
          </w:tcPr>
          <w:p w14:paraId="236AEBAC" w14:textId="77777777" w:rsidR="00A443BC" w:rsidRPr="00CC2C38" w:rsidRDefault="00A443BC" w:rsidP="009153B0">
            <w:pPr>
              <w:pStyle w:val="IEEEParagraph"/>
              <w:ind w:firstLine="0"/>
              <w:jc w:val="center"/>
              <w:rPr>
                <w:szCs w:val="20"/>
              </w:rPr>
            </w:pPr>
          </w:p>
        </w:tc>
      </w:tr>
    </w:tbl>
    <w:p w14:paraId="11E888A8" w14:textId="77777777" w:rsidR="008D1C18" w:rsidRDefault="008D1C18" w:rsidP="000C3D46">
      <w:pPr>
        <w:pStyle w:val="IEEEParagraph"/>
        <w:ind w:firstLine="170"/>
      </w:pPr>
    </w:p>
    <w:p w14:paraId="20CF3D7F" w14:textId="77777777" w:rsidR="00A443BC" w:rsidRPr="00DF7074" w:rsidRDefault="00A443BC" w:rsidP="00A443BC">
      <w:pPr>
        <w:pStyle w:val="IEEEHeading2"/>
        <w:rPr>
          <w:sz w:val="24"/>
        </w:rPr>
      </w:pPr>
      <w:r w:rsidRPr="00DF7074">
        <w:rPr>
          <w:sz w:val="24"/>
        </w:rPr>
        <w:t>Page Numbers, Headers and Footers</w:t>
      </w:r>
    </w:p>
    <w:p w14:paraId="4976E7E9" w14:textId="77777777" w:rsidR="00A443BC" w:rsidRPr="00DF7074" w:rsidRDefault="00A443BC" w:rsidP="00A443BC">
      <w:pPr>
        <w:pStyle w:val="IEEEParagraph"/>
        <w:ind w:firstLine="170"/>
        <w:rPr>
          <w:sz w:val="24"/>
        </w:rPr>
      </w:pPr>
      <w:r w:rsidRPr="00DF7074">
        <w:rPr>
          <w:sz w:val="24"/>
        </w:rPr>
        <w:t>Page numbers, headers and footers must not be used.</w:t>
      </w:r>
    </w:p>
    <w:p w14:paraId="71ABA704" w14:textId="77777777" w:rsidR="00A443BC" w:rsidRPr="00DF7074" w:rsidRDefault="00A443BC" w:rsidP="00A443BC">
      <w:pPr>
        <w:pStyle w:val="IEEEHeading2"/>
        <w:ind w:left="289" w:hanging="289"/>
        <w:rPr>
          <w:sz w:val="24"/>
        </w:rPr>
      </w:pPr>
      <w:r w:rsidRPr="00DF7074">
        <w:rPr>
          <w:sz w:val="24"/>
        </w:rPr>
        <w:t>References</w:t>
      </w:r>
    </w:p>
    <w:p w14:paraId="61332855" w14:textId="77777777" w:rsidR="00A443BC" w:rsidRPr="00DF7074" w:rsidRDefault="00A443BC" w:rsidP="00A443BC">
      <w:pPr>
        <w:pStyle w:val="IEEEParagraph"/>
        <w:rPr>
          <w:sz w:val="24"/>
          <w:lang w:val="en-US"/>
        </w:rPr>
      </w:pPr>
      <w:r w:rsidRPr="00DF7074">
        <w:rPr>
          <w:sz w:val="24"/>
          <w:lang w:val="en-GB"/>
        </w:rPr>
        <w:t xml:space="preserve">The heading of the References section must not be numbered.  All reference items must be in </w:t>
      </w:r>
      <w:r w:rsidR="00231378" w:rsidRPr="00DF7074">
        <w:rPr>
          <w:sz w:val="24"/>
          <w:lang w:val="en-GB"/>
        </w:rPr>
        <w:t>10</w:t>
      </w:r>
      <w:r w:rsidRPr="00DF7074">
        <w:rPr>
          <w:sz w:val="24"/>
          <w:lang w:val="en-GB"/>
        </w:rPr>
        <w:t xml:space="preserve"> pt font.  Please use Regular and Italic styles to distinguish different fields as shown in the References section.</w:t>
      </w:r>
      <w:r w:rsidRPr="00DF7074">
        <w:rPr>
          <w:sz w:val="24"/>
          <w:lang w:val="en-US"/>
        </w:rPr>
        <w:t xml:space="preserve">  </w:t>
      </w:r>
      <w:r w:rsidRPr="00DF7074">
        <w:rPr>
          <w:sz w:val="24"/>
          <w:lang w:val="en-GB"/>
        </w:rPr>
        <w:t xml:space="preserve">Number the reference items consecutively in square brackets (e.g. [1]).  </w:t>
      </w:r>
    </w:p>
    <w:p w14:paraId="029F23AB" w14:textId="77777777" w:rsidR="00A443BC" w:rsidRPr="00DF7074" w:rsidRDefault="00A443BC" w:rsidP="00A443BC">
      <w:pPr>
        <w:pStyle w:val="IEEEParagraph"/>
        <w:rPr>
          <w:sz w:val="24"/>
          <w:lang w:val="en-GB"/>
        </w:rPr>
      </w:pPr>
      <w:r w:rsidRPr="00DF7074">
        <w:rPr>
          <w:sz w:val="24"/>
          <w:lang w:val="en-GB"/>
        </w:rPr>
        <w:t>When referring to a reference item, please simply use the reference number, as in [2].  Do not use “Ref. [3]” or “Reference [3]” except at the beginning of a sentence, e.g.  “Reference [3] shows …”.  Multiple references are each numbered with separate brackets (e.g. [2], [3], [4]</w:t>
      </w:r>
      <w:proofErr w:type="gramStart"/>
      <w:r w:rsidRPr="00DF7074">
        <w:rPr>
          <w:sz w:val="24"/>
          <w:lang w:val="en-GB"/>
        </w:rPr>
        <w:t>–[</w:t>
      </w:r>
      <w:proofErr w:type="gramEnd"/>
      <w:r w:rsidRPr="00DF7074">
        <w:rPr>
          <w:sz w:val="24"/>
          <w:lang w:val="en-GB"/>
        </w:rPr>
        <w:t>6]).</w:t>
      </w:r>
    </w:p>
    <w:p w14:paraId="2E2801FB" w14:textId="77777777" w:rsidR="00A443BC" w:rsidRPr="00DF7074" w:rsidRDefault="00A443BC" w:rsidP="00A443BC">
      <w:pPr>
        <w:pStyle w:val="IEEEParagraph"/>
        <w:rPr>
          <w:sz w:val="24"/>
          <w:lang w:val="en-GB"/>
        </w:rPr>
      </w:pPr>
      <w:r w:rsidRPr="00DF7074">
        <w:rPr>
          <w:sz w:val="24"/>
          <w:lang w:val="en-GB"/>
        </w:rPr>
        <w:t>Examples of reference items of different categories shown in the References section include:</w:t>
      </w:r>
    </w:p>
    <w:p w14:paraId="4FE0D021" w14:textId="77777777" w:rsidR="00A443BC" w:rsidRPr="00DF7074" w:rsidRDefault="00A443BC" w:rsidP="00A443BC">
      <w:pPr>
        <w:pStyle w:val="IEEEParagraph"/>
        <w:numPr>
          <w:ilvl w:val="0"/>
          <w:numId w:val="5"/>
        </w:numPr>
        <w:rPr>
          <w:sz w:val="24"/>
        </w:rPr>
      </w:pPr>
      <w:r w:rsidRPr="00DF7074">
        <w:rPr>
          <w:sz w:val="24"/>
          <w:lang w:val="en-GB"/>
        </w:rPr>
        <w:t>example of a book in [1]</w:t>
      </w:r>
    </w:p>
    <w:p w14:paraId="7E9D5993" w14:textId="77777777" w:rsidR="00A443BC" w:rsidRPr="00DF7074" w:rsidRDefault="00A443BC" w:rsidP="00A443BC">
      <w:pPr>
        <w:pStyle w:val="IEEEParagraph"/>
        <w:numPr>
          <w:ilvl w:val="0"/>
          <w:numId w:val="5"/>
        </w:numPr>
        <w:rPr>
          <w:sz w:val="24"/>
        </w:rPr>
      </w:pPr>
      <w:r w:rsidRPr="00DF7074">
        <w:rPr>
          <w:sz w:val="24"/>
        </w:rPr>
        <w:t>example of a book in a series in [2]</w:t>
      </w:r>
    </w:p>
    <w:p w14:paraId="75826990" w14:textId="77777777" w:rsidR="00A443BC" w:rsidRPr="00DF7074" w:rsidRDefault="00A443BC" w:rsidP="00A443BC">
      <w:pPr>
        <w:pStyle w:val="IEEEParagraph"/>
        <w:numPr>
          <w:ilvl w:val="0"/>
          <w:numId w:val="5"/>
        </w:numPr>
        <w:rPr>
          <w:sz w:val="24"/>
        </w:rPr>
      </w:pPr>
      <w:r w:rsidRPr="00DF7074">
        <w:rPr>
          <w:sz w:val="24"/>
        </w:rPr>
        <w:t>example of a journal article in [3]</w:t>
      </w:r>
    </w:p>
    <w:p w14:paraId="2718C19C" w14:textId="77777777" w:rsidR="00A443BC" w:rsidRPr="00DF7074" w:rsidRDefault="00A443BC" w:rsidP="00A443BC">
      <w:pPr>
        <w:pStyle w:val="IEEEParagraph"/>
        <w:numPr>
          <w:ilvl w:val="0"/>
          <w:numId w:val="5"/>
        </w:numPr>
        <w:rPr>
          <w:sz w:val="24"/>
        </w:rPr>
      </w:pPr>
      <w:r w:rsidRPr="00DF7074">
        <w:rPr>
          <w:sz w:val="24"/>
        </w:rPr>
        <w:t>example of a conference paper in [4]</w:t>
      </w:r>
    </w:p>
    <w:p w14:paraId="7BC840BB" w14:textId="77777777" w:rsidR="00A443BC" w:rsidRPr="00DF7074" w:rsidRDefault="00A443BC" w:rsidP="00A443BC">
      <w:pPr>
        <w:pStyle w:val="IEEEParagraph"/>
        <w:numPr>
          <w:ilvl w:val="0"/>
          <w:numId w:val="5"/>
        </w:numPr>
        <w:rPr>
          <w:sz w:val="24"/>
        </w:rPr>
      </w:pPr>
      <w:r w:rsidRPr="00DF7074">
        <w:rPr>
          <w:sz w:val="24"/>
        </w:rPr>
        <w:t>example of a patent in [5]</w:t>
      </w:r>
    </w:p>
    <w:p w14:paraId="4C683594" w14:textId="77777777" w:rsidR="00A443BC" w:rsidRPr="00DF7074" w:rsidRDefault="00A443BC" w:rsidP="00A443BC">
      <w:pPr>
        <w:pStyle w:val="IEEEParagraph"/>
        <w:numPr>
          <w:ilvl w:val="0"/>
          <w:numId w:val="5"/>
        </w:numPr>
        <w:rPr>
          <w:sz w:val="24"/>
        </w:rPr>
      </w:pPr>
      <w:r w:rsidRPr="00DF7074">
        <w:rPr>
          <w:sz w:val="24"/>
        </w:rPr>
        <w:t>example of a website in [6]</w:t>
      </w:r>
    </w:p>
    <w:p w14:paraId="54DC3B1E" w14:textId="77777777" w:rsidR="00A443BC" w:rsidRPr="00DF7074" w:rsidRDefault="00A443BC" w:rsidP="00A443BC">
      <w:pPr>
        <w:pStyle w:val="IEEEParagraph"/>
        <w:numPr>
          <w:ilvl w:val="0"/>
          <w:numId w:val="5"/>
        </w:numPr>
        <w:rPr>
          <w:sz w:val="24"/>
        </w:rPr>
      </w:pPr>
      <w:r w:rsidRPr="00DF7074">
        <w:rPr>
          <w:sz w:val="24"/>
        </w:rPr>
        <w:t>example of a web page in [7]</w:t>
      </w:r>
    </w:p>
    <w:p w14:paraId="1FD4CB43" w14:textId="77777777" w:rsidR="00A443BC" w:rsidRPr="00DF7074" w:rsidRDefault="00A443BC" w:rsidP="00A443BC">
      <w:pPr>
        <w:pStyle w:val="IEEEParagraph"/>
        <w:numPr>
          <w:ilvl w:val="0"/>
          <w:numId w:val="5"/>
        </w:numPr>
        <w:rPr>
          <w:sz w:val="24"/>
        </w:rPr>
      </w:pPr>
      <w:r w:rsidRPr="00DF7074">
        <w:rPr>
          <w:sz w:val="24"/>
        </w:rPr>
        <w:t xml:space="preserve">example of a </w:t>
      </w:r>
      <w:proofErr w:type="spellStart"/>
      <w:r w:rsidRPr="00DF7074">
        <w:rPr>
          <w:sz w:val="24"/>
        </w:rPr>
        <w:t>databook</w:t>
      </w:r>
      <w:proofErr w:type="spellEnd"/>
      <w:r w:rsidRPr="00DF7074">
        <w:rPr>
          <w:sz w:val="24"/>
        </w:rPr>
        <w:t xml:space="preserve"> as a manual in [8]</w:t>
      </w:r>
    </w:p>
    <w:p w14:paraId="41868941" w14:textId="77777777" w:rsidR="00A443BC" w:rsidRPr="00DF7074" w:rsidRDefault="00A443BC" w:rsidP="00A443BC">
      <w:pPr>
        <w:pStyle w:val="IEEEParagraph"/>
        <w:numPr>
          <w:ilvl w:val="0"/>
          <w:numId w:val="5"/>
        </w:numPr>
        <w:rPr>
          <w:sz w:val="24"/>
        </w:rPr>
      </w:pPr>
      <w:r w:rsidRPr="00DF7074">
        <w:rPr>
          <w:sz w:val="24"/>
        </w:rPr>
        <w:t>example of a datasheet in [9]</w:t>
      </w:r>
    </w:p>
    <w:p w14:paraId="614C5A21" w14:textId="77777777" w:rsidR="00A443BC" w:rsidRPr="00DF7074" w:rsidRDefault="00A443BC" w:rsidP="00A443BC">
      <w:pPr>
        <w:pStyle w:val="IEEEParagraph"/>
        <w:numPr>
          <w:ilvl w:val="0"/>
          <w:numId w:val="5"/>
        </w:numPr>
        <w:rPr>
          <w:sz w:val="24"/>
        </w:rPr>
      </w:pPr>
      <w:r w:rsidRPr="00DF7074">
        <w:rPr>
          <w:sz w:val="24"/>
        </w:rPr>
        <w:t>example of a master’s thesis in [10]</w:t>
      </w:r>
    </w:p>
    <w:p w14:paraId="492A83D2" w14:textId="77777777" w:rsidR="00A443BC" w:rsidRPr="00DF7074" w:rsidRDefault="00A443BC" w:rsidP="00A443BC">
      <w:pPr>
        <w:pStyle w:val="IEEEParagraph"/>
        <w:numPr>
          <w:ilvl w:val="0"/>
          <w:numId w:val="5"/>
        </w:numPr>
        <w:rPr>
          <w:sz w:val="24"/>
        </w:rPr>
      </w:pPr>
      <w:r w:rsidRPr="00DF7074">
        <w:rPr>
          <w:sz w:val="24"/>
        </w:rPr>
        <w:t>example of a technical report in [11]</w:t>
      </w:r>
    </w:p>
    <w:p w14:paraId="7F0FF556" w14:textId="77777777" w:rsidR="00A443BC" w:rsidRPr="00DF7074" w:rsidRDefault="00A443BC" w:rsidP="00A443BC">
      <w:pPr>
        <w:pStyle w:val="IEEEParagraph"/>
        <w:numPr>
          <w:ilvl w:val="0"/>
          <w:numId w:val="5"/>
        </w:numPr>
        <w:rPr>
          <w:sz w:val="24"/>
        </w:rPr>
      </w:pPr>
      <w:r w:rsidRPr="00DF7074">
        <w:rPr>
          <w:sz w:val="24"/>
        </w:rPr>
        <w:t>example of a standard in [12]</w:t>
      </w:r>
    </w:p>
    <w:p w14:paraId="2243F395" w14:textId="77777777" w:rsidR="00B757B4" w:rsidRPr="00DF7074" w:rsidRDefault="00B757B4" w:rsidP="00C66488">
      <w:pPr>
        <w:pStyle w:val="IEEEHeading1"/>
        <w:jc w:val="left"/>
        <w:rPr>
          <w:sz w:val="24"/>
        </w:rPr>
      </w:pPr>
      <w:r w:rsidRPr="00DF7074">
        <w:rPr>
          <w:sz w:val="24"/>
        </w:rPr>
        <w:t>Results</w:t>
      </w:r>
    </w:p>
    <w:p w14:paraId="23E4610A" w14:textId="77777777" w:rsidR="00B757B4" w:rsidRPr="00DF7074" w:rsidRDefault="00B757B4" w:rsidP="000C3D46">
      <w:pPr>
        <w:pStyle w:val="IEEEParagraph"/>
        <w:ind w:firstLine="170"/>
        <w:rPr>
          <w:sz w:val="24"/>
        </w:rPr>
      </w:pPr>
      <w:r w:rsidRPr="00DF7074">
        <w:rPr>
          <w:sz w:val="24"/>
        </w:rPr>
        <w:t>Results should be clear and concise. The most important features and trends in the results should be described but should not interpreted in detail.</w:t>
      </w:r>
    </w:p>
    <w:p w14:paraId="0B6B822B" w14:textId="77777777" w:rsidR="00B757B4" w:rsidRPr="00DF7074" w:rsidRDefault="00B757B4" w:rsidP="00C66488">
      <w:pPr>
        <w:pStyle w:val="IEEEHeading1"/>
        <w:jc w:val="left"/>
        <w:rPr>
          <w:sz w:val="24"/>
        </w:rPr>
      </w:pPr>
      <w:r w:rsidRPr="00DF7074">
        <w:rPr>
          <w:sz w:val="24"/>
        </w:rPr>
        <w:t>DISCUSSION</w:t>
      </w:r>
    </w:p>
    <w:p w14:paraId="366D74AD" w14:textId="77777777" w:rsidR="00B757B4" w:rsidRPr="00DF7074" w:rsidRDefault="00B757B4" w:rsidP="000C3D46">
      <w:pPr>
        <w:pStyle w:val="IEEEParagraph"/>
        <w:ind w:firstLine="170"/>
        <w:rPr>
          <w:sz w:val="24"/>
        </w:rPr>
      </w:pPr>
      <w:r w:rsidRPr="00DF7074">
        <w:rPr>
          <w:sz w:val="24"/>
        </w:rPr>
        <w:t>This should explore the significance of the results of the work, not repeat them. The results should be drawn together, compared with prior work and/or theory and interpreted to present a clear step forward in scientific understanding. Combined Results and Discussion sections comprising a list of results and individual interpretations in isolation are particularly discouraged.</w:t>
      </w:r>
    </w:p>
    <w:p w14:paraId="2021EE83" w14:textId="77777777" w:rsidR="00B757B4" w:rsidRPr="00DF7074" w:rsidRDefault="00B757B4" w:rsidP="00C66488">
      <w:pPr>
        <w:pStyle w:val="IEEEHeading1"/>
        <w:jc w:val="left"/>
        <w:rPr>
          <w:sz w:val="24"/>
        </w:rPr>
      </w:pPr>
      <w:r w:rsidRPr="00DF7074">
        <w:rPr>
          <w:sz w:val="24"/>
        </w:rPr>
        <w:t>CONCLUSION</w:t>
      </w:r>
    </w:p>
    <w:p w14:paraId="50C7CD03" w14:textId="77777777" w:rsidR="00B757B4" w:rsidRPr="00DF7074" w:rsidRDefault="00B757B4" w:rsidP="000C3D46">
      <w:pPr>
        <w:pStyle w:val="IEEEParagraph"/>
        <w:ind w:firstLine="170"/>
        <w:rPr>
          <w:sz w:val="24"/>
        </w:rPr>
      </w:pPr>
      <w:r w:rsidRPr="00DF7074">
        <w:rPr>
          <w:sz w:val="24"/>
        </w:rPr>
        <w:t>The main conclusions of the study should be summarized in a short Conclusions section.</w:t>
      </w:r>
    </w:p>
    <w:p w14:paraId="1C10D97D" w14:textId="77777777" w:rsidR="004C090F" w:rsidRPr="00DF7074" w:rsidRDefault="004C090F" w:rsidP="00C66488">
      <w:pPr>
        <w:pStyle w:val="IEEEHeading1"/>
        <w:numPr>
          <w:ilvl w:val="0"/>
          <w:numId w:val="0"/>
        </w:numPr>
        <w:jc w:val="left"/>
        <w:rPr>
          <w:sz w:val="24"/>
          <w:lang w:val="en-US"/>
        </w:rPr>
      </w:pPr>
      <w:r w:rsidRPr="00DF7074">
        <w:rPr>
          <w:sz w:val="24"/>
          <w:lang w:val="en-US"/>
        </w:rPr>
        <w:t>Acknowledgment</w:t>
      </w:r>
    </w:p>
    <w:p w14:paraId="4D744B61" w14:textId="77777777" w:rsidR="004C090F" w:rsidRDefault="004C090F" w:rsidP="004C090F">
      <w:pPr>
        <w:pStyle w:val="IEEEParagraph"/>
        <w:rPr>
          <w:sz w:val="24"/>
          <w:lang w:val="en-GB"/>
        </w:rPr>
      </w:pPr>
      <w:r w:rsidRPr="00DF7074">
        <w:rPr>
          <w:sz w:val="24"/>
          <w:lang w:val="en-GB"/>
        </w:rPr>
        <w:t>The heading of the Acknowledgment section and the References section must not be numbered.</w:t>
      </w:r>
    </w:p>
    <w:p w14:paraId="47BD7FF7" w14:textId="77777777" w:rsidR="00DF7074" w:rsidRPr="00DF7074" w:rsidRDefault="00DF7074" w:rsidP="004C090F">
      <w:pPr>
        <w:pStyle w:val="IEEEParagraph"/>
        <w:rPr>
          <w:sz w:val="24"/>
        </w:rPr>
      </w:pPr>
    </w:p>
    <w:p w14:paraId="017CA035" w14:textId="77777777" w:rsidR="004C090F" w:rsidRDefault="004C090F" w:rsidP="00C66488">
      <w:pPr>
        <w:pStyle w:val="IEEEHeading1"/>
        <w:numPr>
          <w:ilvl w:val="0"/>
          <w:numId w:val="0"/>
        </w:numPr>
        <w:jc w:val="left"/>
        <w:rPr>
          <w:sz w:val="24"/>
        </w:rPr>
      </w:pPr>
      <w:r w:rsidRPr="00C66488">
        <w:rPr>
          <w:sz w:val="24"/>
        </w:rPr>
        <w:t>References</w:t>
      </w:r>
    </w:p>
    <w:p w14:paraId="251ACE2C" w14:textId="77777777" w:rsidR="00C66488" w:rsidRPr="00C66488" w:rsidRDefault="00C66488" w:rsidP="00C66488">
      <w:pPr>
        <w:pStyle w:val="IEEEParagraph"/>
        <w:rPr>
          <w:sz w:val="24"/>
        </w:rPr>
      </w:pPr>
    </w:p>
    <w:p w14:paraId="1F7B3435" w14:textId="77777777" w:rsidR="00CC2C38" w:rsidRPr="00CC2C38" w:rsidRDefault="00CC2C38" w:rsidP="00CC2C38">
      <w:pPr>
        <w:pStyle w:val="IEEEReferenceItem"/>
        <w:rPr>
          <w:sz w:val="20"/>
        </w:rPr>
      </w:pPr>
      <w:r w:rsidRPr="00CC2C38">
        <w:rPr>
          <w:sz w:val="20"/>
        </w:rPr>
        <w:t xml:space="preserve">Yakar, M., Yılmaz, H. M., &amp; </w:t>
      </w:r>
      <w:proofErr w:type="spellStart"/>
      <w:r w:rsidRPr="00CC2C38">
        <w:rPr>
          <w:sz w:val="20"/>
        </w:rPr>
        <w:t>Mutluoglu</w:t>
      </w:r>
      <w:proofErr w:type="spellEnd"/>
      <w:r w:rsidRPr="00CC2C38">
        <w:rPr>
          <w:sz w:val="20"/>
        </w:rPr>
        <w:t xml:space="preserve">, O. (2014). Performance of photogrammetric and terrestrial laser scanning methods in volume computing of excavation and filling areas. </w:t>
      </w:r>
      <w:hyperlink r:id="rId12" w:history="1">
        <w:r w:rsidRPr="00CC2C38">
          <w:rPr>
            <w:sz w:val="20"/>
          </w:rPr>
          <w:t>Arabian Journal for Science and Engineering</w:t>
        </w:r>
      </w:hyperlink>
      <w:r w:rsidRPr="00CC2C38">
        <w:rPr>
          <w:sz w:val="20"/>
        </w:rPr>
        <w:t>, 39, 387-394.</w:t>
      </w:r>
    </w:p>
    <w:p w14:paraId="548E9D69" w14:textId="77777777" w:rsidR="00CC2C38" w:rsidRPr="00CC2C38" w:rsidRDefault="00CC2C38" w:rsidP="00CC2C38">
      <w:pPr>
        <w:pStyle w:val="IEEEReferenceItem"/>
        <w:rPr>
          <w:sz w:val="20"/>
        </w:rPr>
      </w:pPr>
      <w:r w:rsidRPr="00CC2C38">
        <w:rPr>
          <w:sz w:val="20"/>
        </w:rPr>
        <w:lastRenderedPageBreak/>
        <w:t xml:space="preserve">Alptekin, A., &amp; Yakar, M. (2020). Determination of pond volume </w:t>
      </w:r>
      <w:proofErr w:type="gramStart"/>
      <w:r w:rsidRPr="00CC2C38">
        <w:rPr>
          <w:sz w:val="20"/>
        </w:rPr>
        <w:t>with</w:t>
      </w:r>
      <w:proofErr w:type="gramEnd"/>
      <w:r w:rsidRPr="00CC2C38">
        <w:rPr>
          <w:sz w:val="20"/>
        </w:rPr>
        <w:t xml:space="preserve"> using an unmanned aerial vehicle. Mersin Photogrammetry Journal, 2(2), 59-63.</w:t>
      </w:r>
    </w:p>
    <w:p w14:paraId="7E399BE8" w14:textId="77777777" w:rsidR="00CC2C38" w:rsidRPr="00CC2C38" w:rsidRDefault="00CC2C38" w:rsidP="00CC2C38">
      <w:pPr>
        <w:pStyle w:val="IEEEReferenceItem"/>
        <w:rPr>
          <w:sz w:val="20"/>
        </w:rPr>
      </w:pPr>
      <w:r w:rsidRPr="00CC2C38">
        <w:rPr>
          <w:sz w:val="20"/>
        </w:rPr>
        <w:t xml:space="preserve">Karataş, L., Alptekin, A., &amp; Yakar, M. (2022). Mardin historical </w:t>
      </w:r>
      <w:proofErr w:type="spellStart"/>
      <w:r w:rsidRPr="00CC2C38">
        <w:rPr>
          <w:sz w:val="20"/>
        </w:rPr>
        <w:t>Kuyumcular</w:t>
      </w:r>
      <w:proofErr w:type="spellEnd"/>
      <w:r w:rsidRPr="00CC2C38">
        <w:rPr>
          <w:sz w:val="20"/>
        </w:rPr>
        <w:t xml:space="preserve"> (Jewelers) Bazaar restoration evaluation. Advanced Engineering Days (AED), 5, 15-17.</w:t>
      </w:r>
    </w:p>
    <w:p w14:paraId="031F2086" w14:textId="77777777" w:rsidR="00CC2C38" w:rsidRPr="00CC2C38" w:rsidRDefault="00CC2C38" w:rsidP="00CC2C38">
      <w:pPr>
        <w:pStyle w:val="IEEEReferenceItem"/>
        <w:rPr>
          <w:sz w:val="20"/>
        </w:rPr>
      </w:pPr>
      <w:r w:rsidRPr="00CC2C38">
        <w:rPr>
          <w:sz w:val="20"/>
        </w:rPr>
        <w:t>Maune, D. F. (2001). Digital elevation model technologies and applications: The DEM user manual. The American Society for Photogrammetry and Remote Sensing. ISBN:1-57083-064-9</w:t>
      </w:r>
    </w:p>
    <w:p w14:paraId="65EE9937" w14:textId="77777777" w:rsidR="00CC2C38" w:rsidRPr="00C66488" w:rsidRDefault="00CC2C38" w:rsidP="00CC2C38">
      <w:pPr>
        <w:pStyle w:val="IEEEReferenceItem"/>
        <w:numPr>
          <w:ilvl w:val="0"/>
          <w:numId w:val="0"/>
        </w:numPr>
        <w:ind w:left="432"/>
        <w:rPr>
          <w:sz w:val="20"/>
        </w:rPr>
      </w:pPr>
    </w:p>
    <w:p w14:paraId="544EFA7F" w14:textId="77777777" w:rsidR="007F7949" w:rsidRPr="007F7949" w:rsidRDefault="007F7949" w:rsidP="007F7949">
      <w:pPr>
        <w:pStyle w:val="IEEEParagraph"/>
        <w:rPr>
          <w:lang w:val="en-US"/>
        </w:rPr>
      </w:pPr>
    </w:p>
    <w:p w14:paraId="74ECAA4F" w14:textId="77777777" w:rsidR="007F7949" w:rsidRDefault="007F7949" w:rsidP="00B80B2C">
      <w:pPr>
        <w:rPr>
          <w:rFonts w:ascii="Times New Roman" w:hAnsi="Times New Roman" w:cs="Times New Roman"/>
          <w:lang w:val="en-US"/>
        </w:rPr>
      </w:pPr>
    </w:p>
    <w:sectPr w:rsidR="007F7949" w:rsidSect="008B5AB8">
      <w:headerReference w:type="default" r:id="rId13"/>
      <w:type w:val="continuous"/>
      <w:pgSz w:w="11907" w:h="16840" w:code="9"/>
      <w:pgMar w:top="1373" w:right="851" w:bottom="851" w:left="851"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B4792" w14:textId="77777777" w:rsidR="006C57EA" w:rsidRDefault="006C57EA" w:rsidP="00B80B2C">
      <w:pPr>
        <w:spacing w:after="0" w:line="240" w:lineRule="auto"/>
      </w:pPr>
      <w:r>
        <w:separator/>
      </w:r>
    </w:p>
  </w:endnote>
  <w:endnote w:type="continuationSeparator" w:id="0">
    <w:p w14:paraId="4100F658" w14:textId="77777777" w:rsidR="006C57EA" w:rsidRDefault="006C57EA" w:rsidP="00B8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dobe Caslon Pro">
    <w:altName w:val="Georgia"/>
    <w:panose1 w:val="00000000000000000000"/>
    <w:charset w:val="00"/>
    <w:family w:val="roman"/>
    <w:notTrueType/>
    <w:pitch w:val="variable"/>
    <w:sig w:usb0="00000007" w:usb1="00000001" w:usb2="00000000" w:usb3="00000000" w:csb0="00000093"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4442894"/>
      <w:docPartObj>
        <w:docPartGallery w:val="Page Numbers (Bottom of Page)"/>
        <w:docPartUnique/>
      </w:docPartObj>
    </w:sdtPr>
    <w:sdtContent>
      <w:p w14:paraId="459CAB59" w14:textId="77777777" w:rsidR="007F0B30" w:rsidRDefault="007F0B30">
        <w:pPr>
          <w:pStyle w:val="AltBilgi"/>
          <w:jc w:val="center"/>
        </w:pPr>
        <w:r>
          <w:fldChar w:fldCharType="begin"/>
        </w:r>
        <w:r>
          <w:instrText>PAGE   \* MERGEFORMAT</w:instrText>
        </w:r>
        <w:r>
          <w:fldChar w:fldCharType="separate"/>
        </w:r>
        <w:r w:rsidR="008A21D4">
          <w:rPr>
            <w:noProof/>
          </w:rPr>
          <w:t>2</w:t>
        </w:r>
        <w:r>
          <w:fldChar w:fldCharType="end"/>
        </w:r>
      </w:p>
    </w:sdtContent>
  </w:sdt>
  <w:p w14:paraId="26663C97" w14:textId="77777777" w:rsidR="007F0B30" w:rsidRDefault="007F0B3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4907186"/>
      <w:docPartObj>
        <w:docPartGallery w:val="Page Numbers (Bottom of Page)"/>
        <w:docPartUnique/>
      </w:docPartObj>
    </w:sdtPr>
    <w:sdtContent>
      <w:p w14:paraId="2AAB15AA" w14:textId="77777777" w:rsidR="00896B2D" w:rsidRDefault="00896B2D">
        <w:pPr>
          <w:pStyle w:val="AltBilgi"/>
          <w:jc w:val="center"/>
        </w:pPr>
        <w:r>
          <w:fldChar w:fldCharType="begin"/>
        </w:r>
        <w:r>
          <w:instrText>PAGE   \* MERGEFORMAT</w:instrText>
        </w:r>
        <w:r>
          <w:fldChar w:fldCharType="separate"/>
        </w:r>
        <w:r w:rsidR="00566076">
          <w:rPr>
            <w:noProof/>
          </w:rPr>
          <w:t>1</w:t>
        </w:r>
        <w:r>
          <w:fldChar w:fldCharType="end"/>
        </w:r>
      </w:p>
    </w:sdtContent>
  </w:sdt>
  <w:p w14:paraId="006AF4C0" w14:textId="77777777" w:rsidR="00E71235" w:rsidRDefault="00E71235" w:rsidP="00E71235">
    <w:pPr>
      <w:pStyle w:val="AltBilgi"/>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61DD4" w14:textId="77777777" w:rsidR="006C57EA" w:rsidRDefault="006C57EA" w:rsidP="00B80B2C">
      <w:pPr>
        <w:spacing w:after="0" w:line="240" w:lineRule="auto"/>
      </w:pPr>
      <w:r>
        <w:separator/>
      </w:r>
    </w:p>
  </w:footnote>
  <w:footnote w:type="continuationSeparator" w:id="0">
    <w:p w14:paraId="44C9B25F" w14:textId="77777777" w:rsidR="006C57EA" w:rsidRDefault="006C57EA" w:rsidP="00B80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C5949" w14:textId="77777777" w:rsidR="00B80B2C" w:rsidRPr="00E03D4C" w:rsidRDefault="00B80B2C" w:rsidP="00E03D4C">
    <w:pPr>
      <w:pStyle w:val="stBilgi"/>
      <w:pBdr>
        <w:bottom w:val="single" w:sz="4" w:space="1" w:color="auto"/>
      </w:pBdr>
      <w:jc w:val="center"/>
      <w:rPr>
        <w:rFonts w:ascii="Times New Roman" w:hAnsi="Times New Roman" w:cs="Times New Roman"/>
        <w:i/>
        <w:sz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38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3335"/>
    </w:tblGrid>
    <w:tr w:rsidR="00466625" w14:paraId="0B416D25" w14:textId="77777777" w:rsidTr="00C41868">
      <w:trPr>
        <w:trHeight w:val="1328"/>
      </w:trPr>
      <w:tc>
        <w:tcPr>
          <w:tcW w:w="7054" w:type="dxa"/>
          <w:tcBorders>
            <w:top w:val="single" w:sz="4" w:space="0" w:color="auto"/>
            <w:bottom w:val="single" w:sz="4" w:space="0" w:color="auto"/>
          </w:tcBorders>
          <w:vAlign w:val="center"/>
        </w:tcPr>
        <w:p w14:paraId="0B58D733" w14:textId="77777777" w:rsidR="00466625" w:rsidRPr="00634EFE" w:rsidRDefault="00466625" w:rsidP="00466625">
          <w:pPr>
            <w:jc w:val="center"/>
            <w:rPr>
              <w:rFonts w:ascii="Times New Roman" w:hAnsi="Times New Roman" w:cs="Times New Roman"/>
              <w:i/>
              <w:sz w:val="28"/>
              <w:lang w:val="en-US"/>
            </w:rPr>
          </w:pPr>
          <w:bookmarkStart w:id="0" w:name="_Hlk162360449"/>
          <w:r>
            <w:rPr>
              <w:rFonts w:ascii="Times New Roman" w:hAnsi="Times New Roman" w:cs="Times New Roman"/>
              <w:i/>
              <w:sz w:val="28"/>
              <w:lang w:val="en-US"/>
            </w:rPr>
            <w:t>6</w:t>
          </w:r>
          <w:r>
            <w:rPr>
              <w:rFonts w:ascii="Times New Roman" w:hAnsi="Times New Roman" w:cs="Times New Roman"/>
              <w:i/>
              <w:sz w:val="28"/>
              <w:vertAlign w:val="superscript"/>
              <w:lang w:val="en-US"/>
            </w:rPr>
            <w:t>th</w:t>
          </w:r>
          <w:r>
            <w:rPr>
              <w:rFonts w:ascii="Times New Roman" w:hAnsi="Times New Roman" w:cs="Times New Roman"/>
              <w:i/>
              <w:sz w:val="28"/>
              <w:lang w:val="en-US"/>
            </w:rPr>
            <w:t xml:space="preserve"> </w:t>
          </w:r>
          <w:r w:rsidRPr="00A208D9">
            <w:rPr>
              <w:rFonts w:ascii="Times New Roman" w:hAnsi="Times New Roman" w:cs="Times New Roman"/>
              <w:i/>
              <w:sz w:val="28"/>
              <w:lang w:val="en-US"/>
            </w:rPr>
            <w:t>International Conference on Innovative Academic Studies</w:t>
          </w:r>
        </w:p>
        <w:p w14:paraId="6A447938" w14:textId="77777777" w:rsidR="00466625" w:rsidRPr="00634EFE" w:rsidRDefault="00466625" w:rsidP="00466625">
          <w:pPr>
            <w:jc w:val="center"/>
            <w:rPr>
              <w:rFonts w:ascii="Times New Roman" w:hAnsi="Times New Roman" w:cs="Times New Roman"/>
              <w:i/>
              <w:color w:val="767171" w:themeColor="background2" w:themeShade="80"/>
              <w:sz w:val="10"/>
              <w:lang w:val="en-US"/>
            </w:rPr>
          </w:pPr>
        </w:p>
        <w:p w14:paraId="5FEB544D" w14:textId="77777777" w:rsidR="00466625" w:rsidRPr="007F0B30" w:rsidRDefault="00466625" w:rsidP="00466625">
          <w:pPr>
            <w:jc w:val="center"/>
            <w:rPr>
              <w:rFonts w:ascii="Adobe Caslon Pro" w:hAnsi="Adobe Caslon Pro"/>
              <w:i/>
              <w:color w:val="767171" w:themeColor="background2" w:themeShade="80"/>
              <w:sz w:val="16"/>
              <w:lang w:val="en-US"/>
            </w:rPr>
          </w:pPr>
          <w:r>
            <w:rPr>
              <w:rFonts w:ascii="Times New Roman" w:hAnsi="Times New Roman" w:cs="Times New Roman"/>
              <w:i/>
              <w:color w:val="767171" w:themeColor="background2" w:themeShade="80"/>
              <w:sz w:val="16"/>
              <w:lang w:val="en-US"/>
            </w:rPr>
            <w:t xml:space="preserve">March 12-13, 2025: Konya, </w:t>
          </w:r>
          <w:r w:rsidRPr="007D5272">
            <w:rPr>
              <w:rFonts w:ascii="Times New Roman" w:hAnsi="Times New Roman" w:cs="Times New Roman"/>
              <w:i/>
              <w:color w:val="767171" w:themeColor="background2" w:themeShade="80"/>
              <w:sz w:val="16"/>
              <w:lang w:val="en-US"/>
            </w:rPr>
            <w:t>Turkey</w:t>
          </w:r>
        </w:p>
      </w:tc>
      <w:tc>
        <w:tcPr>
          <w:tcW w:w="3335" w:type="dxa"/>
          <w:vMerge w:val="restart"/>
          <w:tcBorders>
            <w:top w:val="single" w:sz="4" w:space="0" w:color="auto"/>
          </w:tcBorders>
          <w:vAlign w:val="center"/>
        </w:tcPr>
        <w:p w14:paraId="620DEA95" w14:textId="77777777" w:rsidR="00466625" w:rsidRDefault="00466625" w:rsidP="00466625">
          <w:pPr>
            <w:pStyle w:val="stBilgi"/>
            <w:jc w:val="center"/>
            <w:rPr>
              <w:rStyle w:val="Kpr"/>
              <w:rFonts w:ascii="Times New Roman" w:eastAsia="Times New Roman" w:hAnsi="Times New Roman" w:cs="Times New Roman"/>
              <w:i/>
              <w:sz w:val="18"/>
            </w:rPr>
          </w:pPr>
          <w:r>
            <w:rPr>
              <w:rStyle w:val="Kpr"/>
              <w:rFonts w:ascii="Times New Roman" w:eastAsia="Times New Roman" w:hAnsi="Times New Roman" w:cs="Times New Roman"/>
              <w:i/>
              <w:noProof/>
              <w:sz w:val="18"/>
            </w:rPr>
            <w:drawing>
              <wp:inline distT="0" distB="0" distL="0" distR="0" wp14:anchorId="04977147" wp14:editId="2DB0D70E">
                <wp:extent cx="894742" cy="769259"/>
                <wp:effectExtent l="0" t="0" r="635" b="0"/>
                <wp:docPr id="968186396" name="Resim 1" descr="metin, yazı tipi, logo,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186396" name="Resim 1" descr="metin, yazı tipi, logo, simge, sembol içeren bir resim&#10;&#10;Yapay zeka tarafından oluşturulan içerik yanlış olabili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4742" cy="769259"/>
                        </a:xfrm>
                        <a:prstGeom prst="rect">
                          <a:avLst/>
                        </a:prstGeom>
                        <a:noFill/>
                      </pic:spPr>
                    </pic:pic>
                  </a:graphicData>
                </a:graphic>
              </wp:inline>
            </w:drawing>
          </w:r>
        </w:p>
        <w:p w14:paraId="4AED4373" w14:textId="77777777" w:rsidR="00466625" w:rsidRPr="00356D39" w:rsidRDefault="00466625" w:rsidP="00466625">
          <w:pPr>
            <w:pStyle w:val="stBilgi"/>
            <w:jc w:val="center"/>
            <w:rPr>
              <w:rFonts w:ascii="Times New Roman" w:hAnsi="Times New Roman" w:cs="Times New Roman"/>
              <w:sz w:val="18"/>
            </w:rPr>
          </w:pPr>
          <w:hyperlink r:id="rId2" w:history="1">
            <w:r w:rsidRPr="00A208D9">
              <w:rPr>
                <w:rStyle w:val="Kpr"/>
                <w:rFonts w:ascii="Times New Roman" w:eastAsia="Times New Roman" w:hAnsi="Times New Roman" w:cs="Times New Roman"/>
                <w:i/>
                <w:sz w:val="18"/>
              </w:rPr>
              <w:t>https://www.icias.net/</w:t>
            </w:r>
          </w:hyperlink>
        </w:p>
      </w:tc>
    </w:tr>
    <w:tr w:rsidR="00466625" w14:paraId="309FFC1B" w14:textId="77777777" w:rsidTr="00C41868">
      <w:trPr>
        <w:trHeight w:val="357"/>
      </w:trPr>
      <w:tc>
        <w:tcPr>
          <w:tcW w:w="7054" w:type="dxa"/>
          <w:tcBorders>
            <w:top w:val="single" w:sz="4" w:space="0" w:color="auto"/>
            <w:bottom w:val="single" w:sz="4" w:space="0" w:color="auto"/>
          </w:tcBorders>
          <w:vAlign w:val="center"/>
        </w:tcPr>
        <w:p w14:paraId="6804DA2A" w14:textId="77777777" w:rsidR="00466625" w:rsidRPr="00CB2382" w:rsidRDefault="00466625" w:rsidP="00466625">
          <w:pPr>
            <w:jc w:val="center"/>
            <w:rPr>
              <w:rFonts w:ascii="Times New Roman" w:hAnsi="Times New Roman" w:cs="Times New Roman"/>
              <w:color w:val="7F7F7F" w:themeColor="text1" w:themeTint="80"/>
              <w:sz w:val="18"/>
              <w:szCs w:val="18"/>
              <w:lang w:val="en-US"/>
            </w:rPr>
          </w:pPr>
          <w:r w:rsidRPr="00CB2382">
            <w:rPr>
              <w:rFonts w:ascii="Times New Roman" w:hAnsi="Times New Roman" w:cs="Times New Roman"/>
              <w:color w:val="595959" w:themeColor="text1" w:themeTint="A6"/>
              <w:sz w:val="18"/>
              <w:szCs w:val="18"/>
              <w:lang w:val="en-US"/>
            </w:rPr>
            <w:t>© 20</w:t>
          </w:r>
          <w:r>
            <w:rPr>
              <w:rFonts w:ascii="Times New Roman" w:hAnsi="Times New Roman" w:cs="Times New Roman"/>
              <w:color w:val="595959" w:themeColor="text1" w:themeTint="A6"/>
              <w:sz w:val="18"/>
              <w:szCs w:val="18"/>
              <w:lang w:val="en-US"/>
            </w:rPr>
            <w:t>25</w:t>
          </w:r>
          <w:r w:rsidRPr="00CB2382">
            <w:rPr>
              <w:rFonts w:ascii="Times New Roman" w:hAnsi="Times New Roman" w:cs="Times New Roman"/>
              <w:color w:val="595959" w:themeColor="text1" w:themeTint="A6"/>
              <w:sz w:val="18"/>
              <w:szCs w:val="18"/>
              <w:lang w:val="en-US"/>
            </w:rPr>
            <w:t xml:space="preserve"> Published by </w:t>
          </w:r>
          <w:r>
            <w:rPr>
              <w:rFonts w:ascii="Times New Roman" w:hAnsi="Times New Roman" w:cs="Times New Roman"/>
              <w:color w:val="595959" w:themeColor="text1" w:themeTint="A6"/>
              <w:sz w:val="18"/>
              <w:szCs w:val="18"/>
              <w:lang w:val="en-US"/>
            </w:rPr>
            <w:t>All Sciences Academy</w:t>
          </w:r>
        </w:p>
      </w:tc>
      <w:tc>
        <w:tcPr>
          <w:tcW w:w="3335" w:type="dxa"/>
          <w:vMerge/>
          <w:tcBorders>
            <w:bottom w:val="single" w:sz="4" w:space="0" w:color="auto"/>
          </w:tcBorders>
        </w:tcPr>
        <w:p w14:paraId="1D32602A" w14:textId="77777777" w:rsidR="00466625" w:rsidRPr="00634EFE" w:rsidRDefault="00466625" w:rsidP="00466625">
          <w:pPr>
            <w:pStyle w:val="stBilgi"/>
            <w:jc w:val="center"/>
            <w:rPr>
              <w:color w:val="BFBFBF" w:themeColor="background1" w:themeShade="BF"/>
              <w:sz w:val="40"/>
              <w:szCs w:val="40"/>
            </w:rPr>
          </w:pPr>
        </w:p>
      </w:tc>
    </w:tr>
    <w:bookmarkEnd w:id="0"/>
  </w:tbl>
  <w:p w14:paraId="3F12A0FD" w14:textId="77777777" w:rsidR="00E547B8" w:rsidRPr="00C327B7" w:rsidRDefault="00E547B8" w:rsidP="007F0B30">
    <w:pPr>
      <w:pStyle w:val="stBilgi"/>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761C8" w14:textId="77777777" w:rsidR="00616F06" w:rsidRPr="00616F06" w:rsidRDefault="00616F06" w:rsidP="00616F0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06BB56FC"/>
    <w:multiLevelType w:val="hybridMultilevel"/>
    <w:tmpl w:val="67FC8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pStyle w:val="Balk3"/>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3" w15:restartNumberingAfterBreak="0">
    <w:nsid w:val="328273D7"/>
    <w:multiLevelType w:val="multilevel"/>
    <w:tmpl w:val="9C8E938C"/>
    <w:numStyleLink w:val="IEEEBullet1"/>
  </w:abstractNum>
  <w:abstractNum w:abstractNumId="4"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50232215"/>
    <w:multiLevelType w:val="multilevel"/>
    <w:tmpl w:val="E8742F18"/>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6A7F4B21"/>
    <w:multiLevelType w:val="multilevel"/>
    <w:tmpl w:val="9C62DC70"/>
    <w:lvl w:ilvl="0">
      <w:start w:val="1"/>
      <w:numFmt w:val="decimal"/>
      <w:pStyle w:val="IEEEHeading3"/>
      <w:suff w:val="nothing"/>
      <w:lvlText w:val="%1)  "/>
      <w:lvlJc w:val="left"/>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num w:numId="1" w16cid:durableId="1341934965">
    <w:abstractNumId w:val="0"/>
  </w:num>
  <w:num w:numId="2" w16cid:durableId="956374724">
    <w:abstractNumId w:val="5"/>
  </w:num>
  <w:num w:numId="3" w16cid:durableId="13744996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2470661">
    <w:abstractNumId w:val="4"/>
  </w:num>
  <w:num w:numId="5" w16cid:durableId="1096638249">
    <w:abstractNumId w:val="3"/>
  </w:num>
  <w:num w:numId="6" w16cid:durableId="562956502">
    <w:abstractNumId w:val="6"/>
  </w:num>
  <w:num w:numId="7" w16cid:durableId="81797936">
    <w:abstractNumId w:val="2"/>
  </w:num>
  <w:num w:numId="8" w16cid:durableId="728503686">
    <w:abstractNumId w:val="5"/>
  </w:num>
  <w:num w:numId="9" w16cid:durableId="228469543">
    <w:abstractNumId w:val="1"/>
  </w:num>
  <w:num w:numId="10" w16cid:durableId="113444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B2C"/>
    <w:rsid w:val="000733C7"/>
    <w:rsid w:val="000926C0"/>
    <w:rsid w:val="000C21CF"/>
    <w:rsid w:val="000C3D46"/>
    <w:rsid w:val="00123174"/>
    <w:rsid w:val="001450D1"/>
    <w:rsid w:val="0016356B"/>
    <w:rsid w:val="001A095E"/>
    <w:rsid w:val="001B433D"/>
    <w:rsid w:val="001E40E2"/>
    <w:rsid w:val="00212D0B"/>
    <w:rsid w:val="00231378"/>
    <w:rsid w:val="0026288C"/>
    <w:rsid w:val="002739EF"/>
    <w:rsid w:val="00286E5C"/>
    <w:rsid w:val="002E5092"/>
    <w:rsid w:val="003254E8"/>
    <w:rsid w:val="003A21AF"/>
    <w:rsid w:val="003C1152"/>
    <w:rsid w:val="004146BB"/>
    <w:rsid w:val="00432C22"/>
    <w:rsid w:val="00463E96"/>
    <w:rsid w:val="00466625"/>
    <w:rsid w:val="00480AED"/>
    <w:rsid w:val="004C090F"/>
    <w:rsid w:val="004E4629"/>
    <w:rsid w:val="00510F8A"/>
    <w:rsid w:val="00527213"/>
    <w:rsid w:val="00566076"/>
    <w:rsid w:val="00590211"/>
    <w:rsid w:val="005F5030"/>
    <w:rsid w:val="00616F06"/>
    <w:rsid w:val="00630349"/>
    <w:rsid w:val="006C57EA"/>
    <w:rsid w:val="00716829"/>
    <w:rsid w:val="00724D79"/>
    <w:rsid w:val="00760A45"/>
    <w:rsid w:val="00773B39"/>
    <w:rsid w:val="00790179"/>
    <w:rsid w:val="007A1008"/>
    <w:rsid w:val="007A41F8"/>
    <w:rsid w:val="007F0B30"/>
    <w:rsid w:val="007F7949"/>
    <w:rsid w:val="00882297"/>
    <w:rsid w:val="00896B2D"/>
    <w:rsid w:val="008A21D4"/>
    <w:rsid w:val="008B5AB8"/>
    <w:rsid w:val="008D1C18"/>
    <w:rsid w:val="009011A2"/>
    <w:rsid w:val="00906B72"/>
    <w:rsid w:val="009260DF"/>
    <w:rsid w:val="009509DE"/>
    <w:rsid w:val="00956F11"/>
    <w:rsid w:val="009A38FD"/>
    <w:rsid w:val="009A6C9E"/>
    <w:rsid w:val="009D7960"/>
    <w:rsid w:val="009F154B"/>
    <w:rsid w:val="00A443BC"/>
    <w:rsid w:val="00A60AFC"/>
    <w:rsid w:val="00A978C2"/>
    <w:rsid w:val="00B757B4"/>
    <w:rsid w:val="00B80B2C"/>
    <w:rsid w:val="00B91A01"/>
    <w:rsid w:val="00BD40A3"/>
    <w:rsid w:val="00BE6ACB"/>
    <w:rsid w:val="00C327B7"/>
    <w:rsid w:val="00C66488"/>
    <w:rsid w:val="00CC2C38"/>
    <w:rsid w:val="00D311EE"/>
    <w:rsid w:val="00D3727F"/>
    <w:rsid w:val="00DA1C6B"/>
    <w:rsid w:val="00DC740E"/>
    <w:rsid w:val="00DD272F"/>
    <w:rsid w:val="00DD2F12"/>
    <w:rsid w:val="00DD49F3"/>
    <w:rsid w:val="00DF7074"/>
    <w:rsid w:val="00E03D4C"/>
    <w:rsid w:val="00E0542D"/>
    <w:rsid w:val="00E50DAF"/>
    <w:rsid w:val="00E547B8"/>
    <w:rsid w:val="00E71235"/>
    <w:rsid w:val="00F44C4A"/>
    <w:rsid w:val="00FC2F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E3160"/>
  <w15:docId w15:val="{B0CC65F5-C01D-4EAA-989A-677375E0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next w:val="Normal"/>
    <w:link w:val="Balk3Char"/>
    <w:uiPriority w:val="99"/>
    <w:qFormat/>
    <w:rsid w:val="004C090F"/>
    <w:pPr>
      <w:keepNext/>
      <w:numPr>
        <w:ilvl w:val="2"/>
        <w:numId w:val="7"/>
      </w:numPr>
      <w:spacing w:before="240" w:after="60" w:line="240" w:lineRule="auto"/>
      <w:outlineLvl w:val="2"/>
    </w:pPr>
    <w:rPr>
      <w:rFonts w:ascii="Arial" w:eastAsia="SimSun" w:hAnsi="Arial" w:cs="Arial"/>
      <w:b/>
      <w:bCs/>
      <w:sz w:val="26"/>
      <w:szCs w:val="26"/>
      <w:lang w:val="en-AU"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80B2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0B2C"/>
  </w:style>
  <w:style w:type="paragraph" w:styleId="AltBilgi">
    <w:name w:val="footer"/>
    <w:basedOn w:val="Normal"/>
    <w:link w:val="AltBilgiChar"/>
    <w:uiPriority w:val="99"/>
    <w:unhideWhenUsed/>
    <w:rsid w:val="00B80B2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0B2C"/>
  </w:style>
  <w:style w:type="paragraph" w:styleId="ListeParagraf">
    <w:name w:val="List Paragraph"/>
    <w:basedOn w:val="Normal"/>
    <w:link w:val="ListeParagrafChar"/>
    <w:uiPriority w:val="34"/>
    <w:qFormat/>
    <w:rsid w:val="00B80B2C"/>
    <w:pPr>
      <w:ind w:left="720"/>
      <w:contextualSpacing/>
    </w:pPr>
  </w:style>
  <w:style w:type="character" w:customStyle="1" w:styleId="italic">
    <w:name w:val="italic"/>
    <w:basedOn w:val="VarsaylanParagrafYazTipi"/>
    <w:uiPriority w:val="99"/>
    <w:rsid w:val="00B80B2C"/>
    <w:rPr>
      <w:rFonts w:cs="Times New Roman"/>
    </w:rPr>
  </w:style>
  <w:style w:type="character" w:customStyle="1" w:styleId="apple-converted-space">
    <w:name w:val="apple-converted-space"/>
    <w:basedOn w:val="VarsaylanParagrafYazTipi"/>
    <w:uiPriority w:val="99"/>
    <w:rsid w:val="00B80B2C"/>
    <w:rPr>
      <w:rFonts w:cs="Times New Roman"/>
    </w:rPr>
  </w:style>
  <w:style w:type="paragraph" w:styleId="NormalWeb">
    <w:name w:val="Normal (Web)"/>
    <w:basedOn w:val="Normal"/>
    <w:uiPriority w:val="99"/>
    <w:rsid w:val="00B80B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99"/>
    <w:qFormat/>
    <w:rsid w:val="00B80B2C"/>
    <w:rPr>
      <w:rFonts w:cs="Times New Roman"/>
      <w:b/>
      <w:bCs/>
    </w:rPr>
  </w:style>
  <w:style w:type="paragraph" w:customStyle="1" w:styleId="IEEEParagraph">
    <w:name w:val="IEEE Paragraph"/>
    <w:basedOn w:val="Normal"/>
    <w:link w:val="IEEEParagraphChar"/>
    <w:uiPriority w:val="99"/>
    <w:rsid w:val="007F7949"/>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paragraph" w:customStyle="1" w:styleId="IEEEHeading1">
    <w:name w:val="IEEE Heading 1"/>
    <w:basedOn w:val="Normal"/>
    <w:next w:val="IEEEParagraph"/>
    <w:uiPriority w:val="99"/>
    <w:rsid w:val="007F7949"/>
    <w:pPr>
      <w:numPr>
        <w:numId w:val="1"/>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customStyle="1" w:styleId="IEEEParagraphChar">
    <w:name w:val="IEEE Paragraph Char"/>
    <w:basedOn w:val="VarsaylanParagrafYazTipi"/>
    <w:link w:val="IEEEParagraph"/>
    <w:uiPriority w:val="99"/>
    <w:locked/>
    <w:rsid w:val="007F7949"/>
    <w:rPr>
      <w:rFonts w:ascii="Times New Roman" w:eastAsia="SimSun" w:hAnsi="Times New Roman" w:cs="Times New Roman"/>
      <w:sz w:val="20"/>
      <w:szCs w:val="24"/>
      <w:lang w:val="en-AU" w:eastAsia="zh-CN"/>
    </w:rPr>
  </w:style>
  <w:style w:type="character" w:styleId="Kpr">
    <w:name w:val="Hyperlink"/>
    <w:basedOn w:val="VarsaylanParagrafYazTipi"/>
    <w:uiPriority w:val="99"/>
    <w:unhideWhenUsed/>
    <w:rsid w:val="007F7949"/>
    <w:rPr>
      <w:color w:val="0563C1" w:themeColor="hyperlink"/>
      <w:u w:val="single"/>
    </w:rPr>
  </w:style>
  <w:style w:type="paragraph" w:customStyle="1" w:styleId="IEEEHeading2">
    <w:name w:val="IEEE Heading 2"/>
    <w:basedOn w:val="Normal"/>
    <w:next w:val="IEEEParagraph"/>
    <w:uiPriority w:val="99"/>
    <w:rsid w:val="007F7949"/>
    <w:pPr>
      <w:numPr>
        <w:numId w:val="2"/>
      </w:numPr>
      <w:adjustRightInd w:val="0"/>
      <w:snapToGrid w:val="0"/>
      <w:spacing w:before="150" w:after="60" w:line="240" w:lineRule="auto"/>
    </w:pPr>
    <w:rPr>
      <w:rFonts w:ascii="Times New Roman" w:eastAsia="SimSun" w:hAnsi="Times New Roman" w:cs="Times New Roman"/>
      <w:i/>
      <w:sz w:val="20"/>
      <w:szCs w:val="24"/>
      <w:lang w:val="en-AU" w:eastAsia="zh-CN"/>
    </w:rPr>
  </w:style>
  <w:style w:type="numbering" w:customStyle="1" w:styleId="IEEEBullet1">
    <w:name w:val="IEEE Bullet 1"/>
    <w:rsid w:val="007F7949"/>
    <w:pPr>
      <w:numPr>
        <w:numId w:val="4"/>
      </w:numPr>
    </w:pPr>
  </w:style>
  <w:style w:type="paragraph" w:customStyle="1" w:styleId="IEEETableCaption">
    <w:name w:val="IEEE Table Caption"/>
    <w:basedOn w:val="Normal"/>
    <w:next w:val="IEEEParagraph"/>
    <w:uiPriority w:val="99"/>
    <w:rsid w:val="00790179"/>
    <w:pPr>
      <w:spacing w:before="120" w:after="120" w:line="240" w:lineRule="auto"/>
      <w:jc w:val="center"/>
    </w:pPr>
    <w:rPr>
      <w:rFonts w:ascii="Times New Roman" w:eastAsia="SimSun" w:hAnsi="Times New Roman" w:cs="Times New Roman"/>
      <w:smallCaps/>
      <w:sz w:val="16"/>
      <w:szCs w:val="24"/>
      <w:lang w:val="en-AU" w:eastAsia="zh-CN"/>
    </w:rPr>
  </w:style>
  <w:style w:type="character" w:customStyle="1" w:styleId="Balk3Char">
    <w:name w:val="Başlık 3 Char"/>
    <w:basedOn w:val="VarsaylanParagrafYazTipi"/>
    <w:link w:val="Balk3"/>
    <w:uiPriority w:val="99"/>
    <w:rsid w:val="004C090F"/>
    <w:rPr>
      <w:rFonts w:ascii="Arial" w:eastAsia="SimSun" w:hAnsi="Arial" w:cs="Arial"/>
      <w:b/>
      <w:bCs/>
      <w:sz w:val="26"/>
      <w:szCs w:val="26"/>
      <w:lang w:val="en-AU" w:eastAsia="zh-CN"/>
    </w:rPr>
  </w:style>
  <w:style w:type="paragraph" w:customStyle="1" w:styleId="IEEEHeading3">
    <w:name w:val="IEEE Heading 3"/>
    <w:basedOn w:val="Normal"/>
    <w:next w:val="IEEEParagraph"/>
    <w:link w:val="IEEEHeading3Char"/>
    <w:uiPriority w:val="99"/>
    <w:rsid w:val="004C090F"/>
    <w:pPr>
      <w:numPr>
        <w:numId w:val="6"/>
      </w:numPr>
      <w:adjustRightInd w:val="0"/>
      <w:snapToGrid w:val="0"/>
      <w:spacing w:before="120" w:after="60" w:line="240" w:lineRule="auto"/>
      <w:ind w:firstLine="216"/>
      <w:jc w:val="both"/>
    </w:pPr>
    <w:rPr>
      <w:rFonts w:ascii="Times New Roman" w:eastAsia="SimSun" w:hAnsi="Times New Roman" w:cs="Times New Roman"/>
      <w:i/>
      <w:sz w:val="20"/>
      <w:szCs w:val="24"/>
      <w:lang w:val="en-AU" w:eastAsia="zh-CN"/>
    </w:rPr>
  </w:style>
  <w:style w:type="paragraph" w:customStyle="1" w:styleId="IEEEFigureCaptionSingle-Line">
    <w:name w:val="IEEE Figure Caption Single-Line"/>
    <w:basedOn w:val="IEEETableCaption"/>
    <w:next w:val="IEEEParagraph"/>
    <w:uiPriority w:val="99"/>
    <w:rsid w:val="004C090F"/>
    <w:rPr>
      <w:smallCaps w:val="0"/>
    </w:rPr>
  </w:style>
  <w:style w:type="character" w:customStyle="1" w:styleId="IEEEHeading3Char">
    <w:name w:val="IEEE Heading 3 Char"/>
    <w:basedOn w:val="VarsaylanParagrafYazTipi"/>
    <w:link w:val="IEEEHeading3"/>
    <w:uiPriority w:val="99"/>
    <w:locked/>
    <w:rsid w:val="004C090F"/>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uiPriority w:val="99"/>
    <w:rsid w:val="004C090F"/>
    <w:pPr>
      <w:spacing w:after="0" w:line="240" w:lineRule="auto"/>
      <w:jc w:val="center"/>
    </w:pPr>
    <w:rPr>
      <w:rFonts w:ascii="Times New Roman" w:eastAsia="SimSun" w:hAnsi="Times New Roman" w:cs="Times New Roman"/>
      <w:sz w:val="24"/>
      <w:szCs w:val="24"/>
      <w:lang w:val="en-AU" w:eastAsia="zh-CN"/>
    </w:rPr>
  </w:style>
  <w:style w:type="paragraph" w:customStyle="1" w:styleId="IEEEReferenceItem">
    <w:name w:val="IEEE Reference Item"/>
    <w:basedOn w:val="Normal"/>
    <w:uiPriority w:val="99"/>
    <w:rsid w:val="004C090F"/>
    <w:pPr>
      <w:numPr>
        <w:numId w:val="7"/>
      </w:numPr>
      <w:adjustRightInd w:val="0"/>
      <w:snapToGrid w:val="0"/>
      <w:spacing w:after="0" w:line="240" w:lineRule="auto"/>
      <w:jc w:val="both"/>
    </w:pPr>
    <w:rPr>
      <w:rFonts w:ascii="Times New Roman" w:eastAsia="SimSun" w:hAnsi="Times New Roman" w:cs="Times New Roman"/>
      <w:sz w:val="16"/>
      <w:szCs w:val="24"/>
      <w:lang w:val="en-US" w:eastAsia="zh-CN"/>
    </w:rPr>
  </w:style>
  <w:style w:type="paragraph" w:customStyle="1" w:styleId="IEEEFigureCaptionMulti-Lines">
    <w:name w:val="IEEE Figure Caption Multi-Lines"/>
    <w:basedOn w:val="IEEEFigureCaptionSingle-Line"/>
    <w:next w:val="IEEEParagraph"/>
    <w:uiPriority w:val="99"/>
    <w:rsid w:val="004C090F"/>
    <w:pPr>
      <w:jc w:val="both"/>
    </w:pPr>
  </w:style>
  <w:style w:type="table" w:styleId="TabloKlavuzu">
    <w:name w:val="Table Grid"/>
    <w:basedOn w:val="NormalTablo"/>
    <w:uiPriority w:val="39"/>
    <w:rsid w:val="0095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450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50D1"/>
    <w:rPr>
      <w:rFonts w:ascii="Tahoma" w:hAnsi="Tahoma" w:cs="Tahoma"/>
      <w:sz w:val="16"/>
      <w:szCs w:val="16"/>
    </w:rPr>
  </w:style>
  <w:style w:type="table" w:customStyle="1" w:styleId="TableNormal">
    <w:name w:val="Table Normal"/>
    <w:uiPriority w:val="2"/>
    <w:semiHidden/>
    <w:unhideWhenUsed/>
    <w:qFormat/>
    <w:rsid w:val="001450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450D1"/>
    <w:pPr>
      <w:widowControl w:val="0"/>
      <w:autoSpaceDE w:val="0"/>
      <w:autoSpaceDN w:val="0"/>
      <w:spacing w:before="2" w:after="0" w:line="240" w:lineRule="auto"/>
      <w:ind w:left="173" w:hanging="142"/>
    </w:pPr>
    <w:rPr>
      <w:rFonts w:ascii="Verdana" w:eastAsia="Verdana" w:hAnsi="Verdana" w:cs="Verdana"/>
      <w:lang w:eastAsia="tr-TR" w:bidi="tr-TR"/>
    </w:rPr>
  </w:style>
  <w:style w:type="character" w:customStyle="1" w:styleId="ListeParagrafChar">
    <w:name w:val="Liste Paragraf Char"/>
    <w:basedOn w:val="VarsaylanParagrafYazTipi"/>
    <w:link w:val="ListeParagraf"/>
    <w:uiPriority w:val="34"/>
    <w:rsid w:val="00CC2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686843">
      <w:bodyDiv w:val="1"/>
      <w:marLeft w:val="0"/>
      <w:marRight w:val="0"/>
      <w:marTop w:val="0"/>
      <w:marBottom w:val="0"/>
      <w:divBdr>
        <w:top w:val="none" w:sz="0" w:space="0" w:color="auto"/>
        <w:left w:val="none" w:sz="0" w:space="0" w:color="auto"/>
        <w:bottom w:val="none" w:sz="0" w:space="0" w:color="auto"/>
        <w:right w:val="none" w:sz="0" w:space="0" w:color="auto"/>
      </w:divBdr>
    </w:div>
    <w:div w:id="1397976887">
      <w:bodyDiv w:val="1"/>
      <w:marLeft w:val="0"/>
      <w:marRight w:val="0"/>
      <w:marTop w:val="0"/>
      <w:marBottom w:val="0"/>
      <w:divBdr>
        <w:top w:val="none" w:sz="0" w:space="0" w:color="auto"/>
        <w:left w:val="none" w:sz="0" w:space="0" w:color="auto"/>
        <w:bottom w:val="none" w:sz="0" w:space="0" w:color="auto"/>
        <w:right w:val="none" w:sz="0" w:space="0" w:color="auto"/>
      </w:divBdr>
    </w:div>
    <w:div w:id="1529954219">
      <w:bodyDiv w:val="1"/>
      <w:marLeft w:val="0"/>
      <w:marRight w:val="0"/>
      <w:marTop w:val="0"/>
      <w:marBottom w:val="0"/>
      <w:divBdr>
        <w:top w:val="none" w:sz="0" w:space="0" w:color="auto"/>
        <w:left w:val="none" w:sz="0" w:space="0" w:color="auto"/>
        <w:bottom w:val="none" w:sz="0" w:space="0" w:color="auto"/>
        <w:right w:val="none" w:sz="0" w:space="0" w:color="auto"/>
      </w:divBdr>
    </w:div>
    <w:div w:id="197960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springer.com/journal/133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www.icias.net/" TargetMode="External"/><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687</Words>
  <Characters>3917</Characters>
  <Application>Microsoft Office Word</Application>
  <DocSecurity>0</DocSecurity>
  <Lines>32</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TuRGuT</dc:creator>
  <cp:lastModifiedBy>umut özkaya</cp:lastModifiedBy>
  <cp:revision>29</cp:revision>
  <dcterms:created xsi:type="dcterms:W3CDTF">2020-02-20T11:01:00Z</dcterms:created>
  <dcterms:modified xsi:type="dcterms:W3CDTF">2025-03-05T02:04:00Z</dcterms:modified>
</cp:coreProperties>
</file>