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2927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2E3490B7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31A08443" w14:textId="77777777" w:rsidR="00D56059" w:rsidRPr="001017FB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017FB">
        <w:rPr>
          <w:rFonts w:ascii="Times New Roman" w:hAnsi="Times New Roman" w:cs="Times New Roman"/>
          <w:sz w:val="24"/>
        </w:rPr>
        <w:t>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>1*</w:t>
      </w:r>
      <w:r w:rsidRPr="001017FB">
        <w:rPr>
          <w:rFonts w:ascii="Times New Roman" w:hAnsi="Times New Roman" w:cs="Times New Roman"/>
          <w:sz w:val="24"/>
        </w:rPr>
        <w:t>, 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017FB">
        <w:rPr>
          <w:rFonts w:ascii="Times New Roman" w:hAnsi="Times New Roman" w:cs="Times New Roman"/>
          <w:sz w:val="24"/>
        </w:rPr>
        <w:t xml:space="preserve"> ve 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75FED8A0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4CC96D9B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667EBA55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6BF45B8" w14:textId="77777777" w:rsidR="00180A69" w:rsidRPr="001017FB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2E25A78" w14:textId="77777777" w:rsidR="004338DC" w:rsidRPr="001017FB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017FB">
        <w:rPr>
          <w:rFonts w:ascii="Times New Roman" w:hAnsi="Times New Roman" w:cs="Times New Roman"/>
          <w:i/>
          <w:sz w:val="20"/>
        </w:rPr>
        <w:t>(aaa@xxxx.com)</w:t>
      </w:r>
      <w:r w:rsidR="004338DC" w:rsidRPr="001017FB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1017FB">
        <w:rPr>
          <w:rFonts w:ascii="Times New Roman" w:eastAsia="Calibri" w:hAnsi="Times New Roman" w:cs="Times New Roman"/>
          <w:i/>
          <w:sz w:val="20"/>
        </w:rPr>
        <w:t xml:space="preserve">Başlıca yazarın </w:t>
      </w:r>
      <w:proofErr w:type="gramStart"/>
      <w:r w:rsidR="004338DC" w:rsidRPr="001017FB">
        <w:rPr>
          <w:rFonts w:ascii="Times New Roman" w:eastAsia="Calibri" w:hAnsi="Times New Roman" w:cs="Times New Roman"/>
          <w:i/>
          <w:sz w:val="20"/>
        </w:rPr>
        <w:t>mail</w:t>
      </w:r>
      <w:proofErr w:type="gramEnd"/>
      <w:r w:rsidR="004338DC" w:rsidRPr="001017FB">
        <w:rPr>
          <w:rFonts w:ascii="Times New Roman" w:eastAsia="Calibri" w:hAnsi="Times New Roman" w:cs="Times New Roman"/>
          <w:i/>
          <w:sz w:val="20"/>
        </w:rPr>
        <w:t xml:space="preserve"> adresi</w:t>
      </w:r>
    </w:p>
    <w:p w14:paraId="10B57108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1BBE05AB" w14:textId="0EE1B93E" w:rsidR="00D56059" w:rsidRPr="001017FB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17FB">
        <w:rPr>
          <w:rFonts w:ascii="Times New Roman" w:hAnsi="Times New Roman" w:cs="Times New Roman"/>
          <w:b/>
          <w:i/>
          <w:sz w:val="24"/>
        </w:rPr>
        <w:t>Özet –</w:t>
      </w:r>
      <w:r w:rsidRPr="001017FB">
        <w:rPr>
          <w:rFonts w:ascii="Times New Roman" w:hAnsi="Times New Roman" w:cs="Times New Roman"/>
          <w:sz w:val="24"/>
        </w:rPr>
        <w:t xml:space="preserve"> Bu belge, </w:t>
      </w:r>
      <w:r w:rsidR="00C76B59" w:rsidRPr="00C76B59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Innovative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Academic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Studies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r w:rsidRPr="001017FB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017FB">
        <w:rPr>
          <w:rFonts w:ascii="Times New Roman" w:hAnsi="Times New Roman" w:cs="Times New Roman"/>
          <w:sz w:val="24"/>
        </w:rPr>
        <w:t>onuçları kısaca belirtmelidir. 200-25</w:t>
      </w:r>
      <w:r w:rsidRPr="001017FB">
        <w:rPr>
          <w:rFonts w:ascii="Times New Roman" w:hAnsi="Times New Roman" w:cs="Times New Roman"/>
          <w:sz w:val="24"/>
        </w:rPr>
        <w:t>0 kelimelik özet gerekmektedir.</w:t>
      </w:r>
    </w:p>
    <w:p w14:paraId="63EC28B7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75E2EC23" w14:textId="77777777" w:rsidR="00597045" w:rsidRPr="001017FB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017FB">
        <w:rPr>
          <w:rFonts w:ascii="Times New Roman" w:hAnsi="Times New Roman" w:cs="Times New Roman"/>
          <w:i/>
          <w:sz w:val="20"/>
        </w:rPr>
        <w:t>Anahtar Kelimeler –</w:t>
      </w:r>
      <w:r w:rsidRPr="001017FB">
        <w:rPr>
          <w:rFonts w:ascii="Times New Roman" w:hAnsi="Times New Roman" w:cs="Times New Roman"/>
          <w:sz w:val="20"/>
        </w:rPr>
        <w:t xml:space="preserve"> </w:t>
      </w:r>
      <w:r w:rsidR="00597045" w:rsidRPr="001017FB">
        <w:rPr>
          <w:rFonts w:ascii="Times New Roman" w:hAnsi="Times New Roman" w:cs="Times New Roman"/>
          <w:i/>
          <w:sz w:val="20"/>
        </w:rPr>
        <w:t>En az 5 anahtar kelime içermelidir</w:t>
      </w:r>
    </w:p>
    <w:p w14:paraId="1D89FDFE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4A3C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1E1B5BD" w14:textId="77777777" w:rsidR="007F7949" w:rsidRPr="001017FB" w:rsidRDefault="00846AB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GİRİŞ</w:t>
      </w:r>
    </w:p>
    <w:p w14:paraId="5B0603E7" w14:textId="7D4C2FBA" w:rsidR="007F7949" w:rsidRPr="001017FB" w:rsidRDefault="00846AB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 xml:space="preserve">Bu </w:t>
      </w:r>
      <w:proofErr w:type="gramStart"/>
      <w:r w:rsidRPr="001017FB">
        <w:rPr>
          <w:sz w:val="24"/>
          <w:lang w:val="tr-TR"/>
        </w:rPr>
        <w:t>doküman</w:t>
      </w:r>
      <w:proofErr w:type="gramEnd"/>
      <w:r w:rsidRPr="001017FB">
        <w:rPr>
          <w:sz w:val="24"/>
          <w:lang w:val="tr-TR"/>
        </w:rPr>
        <w:t xml:space="preserve"> </w:t>
      </w:r>
      <w:proofErr w:type="spellStart"/>
      <w:r w:rsidR="00180A69" w:rsidRPr="001017FB">
        <w:rPr>
          <w:sz w:val="24"/>
          <w:lang w:val="tr-TR"/>
        </w:rPr>
        <w:t>for</w:t>
      </w:r>
      <w:proofErr w:type="spellEnd"/>
      <w:r w:rsidR="00180A69" w:rsidRPr="001017FB">
        <w:rPr>
          <w:sz w:val="24"/>
          <w:lang w:val="tr-TR"/>
        </w:rPr>
        <w:t xml:space="preserve"> IC</w:t>
      </w:r>
      <w:r w:rsidR="00C76B59">
        <w:rPr>
          <w:sz w:val="24"/>
          <w:lang w:val="tr-TR"/>
        </w:rPr>
        <w:t>IA</w:t>
      </w:r>
      <w:r w:rsidR="00C447EF">
        <w:rPr>
          <w:sz w:val="24"/>
          <w:lang w:val="tr-TR"/>
        </w:rPr>
        <w:t>S</w:t>
      </w:r>
      <w:r w:rsidR="00180A69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>için tam metin formatını içerir.</w:t>
      </w:r>
      <w:r w:rsidR="007F7949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 xml:space="preserve">Sempozyum web sitesinden indirilebilir ve sempozyum bildirilerinde yer alacak nihai </w:t>
      </w:r>
      <w:proofErr w:type="gramStart"/>
      <w:r w:rsidRPr="001017FB">
        <w:rPr>
          <w:sz w:val="24"/>
          <w:lang w:val="tr-TR"/>
        </w:rPr>
        <w:t>kağıdın</w:t>
      </w:r>
      <w:proofErr w:type="gram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dizgelenmesinde</w:t>
      </w:r>
      <w:proofErr w:type="spellEnd"/>
      <w:r w:rsidRPr="001017FB">
        <w:rPr>
          <w:sz w:val="24"/>
          <w:lang w:val="tr-TR"/>
        </w:rPr>
        <w:t xml:space="preserve"> bir referans olarak kullanılabilir. Gönderme yöntemiyle ilgili bilgiler web sayfasında yer almaktadır. Gö</w:t>
      </w:r>
      <w:r w:rsidR="00DD759B" w:rsidRPr="001017FB">
        <w:rPr>
          <w:sz w:val="24"/>
          <w:lang w:val="tr-TR"/>
        </w:rPr>
        <w:t>n</w:t>
      </w:r>
      <w:r w:rsidRPr="001017FB">
        <w:rPr>
          <w:sz w:val="24"/>
          <w:lang w:val="tr-TR"/>
        </w:rPr>
        <w:t xml:space="preserve">derim veya format ile ilgili sorularınız için </w:t>
      </w:r>
      <w:hyperlink r:id="rId13" w:history="1">
        <w:r w:rsidR="00E6580D" w:rsidRPr="001017FB">
          <w:rPr>
            <w:rStyle w:val="Kpr"/>
            <w:i/>
            <w:iCs/>
            <w:sz w:val="24"/>
            <w:lang w:val="tr-TR"/>
          </w:rPr>
          <w:t>allsciencesacademy@gmail.com</w:t>
        </w:r>
      </w:hyperlink>
      <w:r w:rsidR="00E6580D" w:rsidRPr="001017FB">
        <w:rPr>
          <w:rStyle w:val="Kpr"/>
          <w:i/>
          <w:iCs/>
          <w:sz w:val="24"/>
          <w:lang w:val="en-US"/>
        </w:rPr>
        <w:t xml:space="preserve"> </w:t>
      </w:r>
      <w:proofErr w:type="gramStart"/>
      <w:r w:rsidRPr="001017FB">
        <w:rPr>
          <w:sz w:val="24"/>
          <w:lang w:val="tr-TR"/>
        </w:rPr>
        <w:t>mail</w:t>
      </w:r>
      <w:proofErr w:type="gramEnd"/>
      <w:r w:rsidRPr="001017FB">
        <w:rPr>
          <w:sz w:val="24"/>
          <w:lang w:val="tr-TR"/>
        </w:rPr>
        <w:t xml:space="preserve"> adresini kullanabilirsiniz.</w:t>
      </w:r>
    </w:p>
    <w:p w14:paraId="10D09282" w14:textId="77777777" w:rsidR="007F7949" w:rsidRPr="001017FB" w:rsidRDefault="00846AB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MATERYAL VE YÖNTEM</w:t>
      </w:r>
    </w:p>
    <w:p w14:paraId="2C9133AF" w14:textId="77777777" w:rsidR="007F7949" w:rsidRPr="001017FB" w:rsidRDefault="00846AB4" w:rsidP="007F7949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 xml:space="preserve">Çalışmayı yaparken kullanılan materyalleri ve yöntemleri ayrıntılı olarak açıklayın. Farklı </w:t>
      </w:r>
      <w:proofErr w:type="gramStart"/>
      <w:r w:rsidRPr="001017FB">
        <w:rPr>
          <w:sz w:val="24"/>
          <w:lang w:val="tr-TR"/>
        </w:rPr>
        <w:t>kaynaklardan</w:t>
      </w:r>
      <w:proofErr w:type="gramEnd"/>
      <w:r w:rsidRPr="001017FB">
        <w:rPr>
          <w:sz w:val="24"/>
          <w:lang w:val="tr-TR"/>
        </w:rPr>
        <w:t xml:space="preserve"> yaptığınız alıntılar referanslarda verilmeli ve kaynak gösterilmelidir.</w:t>
      </w:r>
      <w:r w:rsidR="007F7949" w:rsidRPr="001017FB">
        <w:rPr>
          <w:sz w:val="24"/>
          <w:lang w:val="tr-TR"/>
        </w:rPr>
        <w:t xml:space="preserve"> </w:t>
      </w:r>
    </w:p>
    <w:p w14:paraId="59788BBA" w14:textId="77777777" w:rsidR="007F7949" w:rsidRPr="001017FB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017FB">
        <w:rPr>
          <w:sz w:val="24"/>
          <w:lang w:val="tr-TR"/>
        </w:rPr>
        <w:t>İkinci Seviye Başlık</w:t>
      </w:r>
    </w:p>
    <w:p w14:paraId="00953F88" w14:textId="77777777" w:rsidR="00B757B4" w:rsidRPr="001017FB" w:rsidRDefault="00846AB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Ana başlıkların detaylandırılması için 2. seviye ve 3. seviye başlıklar kullanılabilir.</w:t>
      </w:r>
    </w:p>
    <w:p w14:paraId="78B2F987" w14:textId="77777777" w:rsidR="00B757B4" w:rsidRPr="001017FB" w:rsidRDefault="00846AB4" w:rsidP="00B757B4">
      <w:pPr>
        <w:pStyle w:val="IEEEHeading2"/>
        <w:rPr>
          <w:sz w:val="24"/>
          <w:lang w:val="tr-TR"/>
        </w:rPr>
      </w:pPr>
      <w:r w:rsidRPr="001017FB">
        <w:rPr>
          <w:sz w:val="24"/>
          <w:lang w:val="tr-TR"/>
        </w:rPr>
        <w:t>Şekil ve Tablolar</w:t>
      </w:r>
    </w:p>
    <w:p w14:paraId="051BA7EF" w14:textId="77777777" w:rsidR="00B757B4" w:rsidRPr="001017FB" w:rsidRDefault="00846AB4" w:rsidP="00B757B4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 xml:space="preserve">Şekiller ve Tablolar ortalı olarak hizalanmalıdır. </w:t>
      </w:r>
      <w:r w:rsidR="00770A54" w:rsidRPr="001017FB">
        <w:rPr>
          <w:sz w:val="24"/>
          <w:lang w:val="tr-TR"/>
        </w:rPr>
        <w:t xml:space="preserve">Tek sütuna sığmayan şekil veya tablolar için iki sütun birleştirilebilir. </w:t>
      </w:r>
      <w:proofErr w:type="spellStart"/>
      <w:r w:rsidR="00B757B4" w:rsidRPr="001017FB">
        <w:rPr>
          <w:sz w:val="24"/>
          <w:lang w:val="tr-TR"/>
        </w:rPr>
        <w:t>Figures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and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tables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must</w:t>
      </w:r>
      <w:proofErr w:type="spellEnd"/>
      <w:r w:rsidR="00B757B4" w:rsidRPr="001017FB">
        <w:rPr>
          <w:sz w:val="24"/>
          <w:lang w:val="tr-TR"/>
        </w:rPr>
        <w:t xml:space="preserve"> be </w:t>
      </w:r>
      <w:proofErr w:type="spellStart"/>
      <w:r w:rsidR="00B757B4" w:rsidRPr="001017FB">
        <w:rPr>
          <w:sz w:val="24"/>
          <w:lang w:val="tr-TR"/>
        </w:rPr>
        <w:t>centered</w:t>
      </w:r>
      <w:proofErr w:type="spellEnd"/>
      <w:r w:rsidR="00B757B4" w:rsidRPr="001017FB">
        <w:rPr>
          <w:sz w:val="24"/>
          <w:lang w:val="tr-TR"/>
        </w:rPr>
        <w:t xml:space="preserve"> in </w:t>
      </w:r>
      <w:proofErr w:type="spellStart"/>
      <w:r w:rsidR="00B757B4" w:rsidRPr="001017FB">
        <w:rPr>
          <w:sz w:val="24"/>
          <w:lang w:val="tr-TR"/>
        </w:rPr>
        <w:t>the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column</w:t>
      </w:r>
      <w:proofErr w:type="spellEnd"/>
      <w:r w:rsidR="00B757B4" w:rsidRPr="001017FB">
        <w:rPr>
          <w:sz w:val="24"/>
          <w:lang w:val="tr-TR"/>
        </w:rPr>
        <w:t xml:space="preserve">.  </w:t>
      </w:r>
    </w:p>
    <w:p w14:paraId="11062C75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34E4338F" w14:textId="23B440C1" w:rsidR="00B757B4" w:rsidRPr="00180A69" w:rsidRDefault="00C447EF" w:rsidP="00B757B4">
      <w:pPr>
        <w:pStyle w:val="IEEEFigure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2C84E116" wp14:editId="38C15D33">
            <wp:extent cx="1213485" cy="1043301"/>
            <wp:effectExtent l="0" t="0" r="5715" b="5080"/>
            <wp:docPr id="8111847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84747" name="Resi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4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AD17D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1B636867" w14:textId="77777777" w:rsidR="00A443BC" w:rsidRPr="001017FB" w:rsidRDefault="00770A54" w:rsidP="00A443BC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Tablo örneği aşağıda verilmiştir</w:t>
      </w:r>
      <w:r w:rsidR="00A443BC" w:rsidRPr="001017FB">
        <w:rPr>
          <w:sz w:val="24"/>
          <w:lang w:val="tr-TR"/>
        </w:rPr>
        <w:t>.</w:t>
      </w:r>
    </w:p>
    <w:p w14:paraId="6B987C60" w14:textId="77777777" w:rsidR="00E6580D" w:rsidRPr="00E6580D" w:rsidRDefault="00E6580D" w:rsidP="00A443BC">
      <w:pPr>
        <w:pStyle w:val="IEEEParagraph"/>
        <w:ind w:firstLine="170"/>
        <w:rPr>
          <w:sz w:val="22"/>
          <w:szCs w:val="22"/>
          <w:lang w:val="tr-TR"/>
        </w:rPr>
      </w:pPr>
    </w:p>
    <w:p w14:paraId="123588C7" w14:textId="77777777" w:rsidR="00E6580D" w:rsidRPr="00CC2C38" w:rsidRDefault="00000000" w:rsidP="00E6580D">
      <w:pPr>
        <w:tabs>
          <w:tab w:val="left" w:pos="720"/>
          <w:tab w:val="left" w:pos="1440"/>
          <w:tab w:val="center" w:pos="4251"/>
        </w:tabs>
        <w:spacing w:after="0" w:line="240" w:lineRule="auto"/>
        <w:jc w:val="right"/>
        <w:rPr>
          <w:rFonts w:ascii="Times New Roman" w:hAnsi="Times New Roman" w:cs="Times New Roman"/>
          <w:noProof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 xml:space="preserve">m 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noProof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noProof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4"/>
                      </w:rPr>
                      <m:t>2,9-1,75ε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4"/>
                  </w:rPr>
                  <m:t xml:space="preserve"> x 8ηlQ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4"/>
                  </w:rPr>
                  <m:t>ε x A x ∆P</m:t>
                </m:r>
              </m:den>
            </m:f>
          </m:e>
        </m:rad>
      </m:oMath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  <w:t xml:space="preserve">                                   </w:t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  <w:t>(</w:t>
      </w:r>
      <w:r w:rsidR="00E6580D">
        <w:rPr>
          <w:rFonts w:ascii="Times New Roman" w:hAnsi="Times New Roman" w:cs="Times New Roman"/>
          <w:noProof/>
          <w:szCs w:val="24"/>
        </w:rPr>
        <w:t>1</w:t>
      </w:r>
      <w:r w:rsidR="00E6580D" w:rsidRPr="00CC2C38">
        <w:rPr>
          <w:rFonts w:ascii="Times New Roman" w:hAnsi="Times New Roman" w:cs="Times New Roman"/>
          <w:noProof/>
          <w:szCs w:val="24"/>
        </w:rPr>
        <w:t>)</w:t>
      </w:r>
    </w:p>
    <w:p w14:paraId="4FA8EF8A" w14:textId="77777777" w:rsidR="006B498E" w:rsidRDefault="006B498E" w:rsidP="00A443BC">
      <w:pPr>
        <w:pStyle w:val="IEEEFigureCaptionSingle-Line"/>
        <w:rPr>
          <w:lang w:val="tr-TR"/>
        </w:rPr>
      </w:pPr>
    </w:p>
    <w:p w14:paraId="1EFA5CD9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7EA7CB47" w14:textId="77777777" w:rsidTr="00E6580D">
        <w:trPr>
          <w:jc w:val="center"/>
        </w:trPr>
        <w:tc>
          <w:tcPr>
            <w:tcW w:w="1588" w:type="dxa"/>
            <w:vAlign w:val="center"/>
          </w:tcPr>
          <w:p w14:paraId="05C8B0E6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lastRenderedPageBreak/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7F3726A4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01D25F89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023BC1AA" w14:textId="77777777" w:rsidTr="00E6580D">
        <w:trPr>
          <w:jc w:val="center"/>
        </w:trPr>
        <w:tc>
          <w:tcPr>
            <w:tcW w:w="1588" w:type="dxa"/>
            <w:vAlign w:val="center"/>
          </w:tcPr>
          <w:p w14:paraId="062E721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3EDA7F64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5F56064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0A836ABE" w14:textId="77777777" w:rsidTr="00E6580D">
        <w:trPr>
          <w:jc w:val="center"/>
        </w:trPr>
        <w:tc>
          <w:tcPr>
            <w:tcW w:w="1588" w:type="dxa"/>
            <w:vAlign w:val="center"/>
          </w:tcPr>
          <w:p w14:paraId="4981518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12084E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7985861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3DA5591E" w14:textId="77777777" w:rsidTr="00E6580D">
        <w:trPr>
          <w:jc w:val="center"/>
        </w:trPr>
        <w:tc>
          <w:tcPr>
            <w:tcW w:w="1588" w:type="dxa"/>
            <w:vAlign w:val="center"/>
          </w:tcPr>
          <w:p w14:paraId="6EA2B05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25512F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44C466B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04B0FB43" w14:textId="77777777" w:rsidTr="00E6580D">
        <w:trPr>
          <w:jc w:val="center"/>
        </w:trPr>
        <w:tc>
          <w:tcPr>
            <w:tcW w:w="1588" w:type="dxa"/>
            <w:vAlign w:val="center"/>
          </w:tcPr>
          <w:p w14:paraId="0B58973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0ACC442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EF1FE2D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14A3F6EF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7144EE23" w14:textId="77777777" w:rsidR="00A443BC" w:rsidRPr="001017FB" w:rsidRDefault="00770A54" w:rsidP="00A443BC">
      <w:pPr>
        <w:pStyle w:val="IEEEHeading2"/>
        <w:rPr>
          <w:sz w:val="24"/>
          <w:lang w:val="tr-TR"/>
        </w:rPr>
      </w:pPr>
      <w:r w:rsidRPr="001017FB">
        <w:rPr>
          <w:sz w:val="24"/>
          <w:lang w:val="tr-TR"/>
        </w:rPr>
        <w:t>Sayfa Numaraları, Üstbilgiler ve Altbilgiler</w:t>
      </w:r>
    </w:p>
    <w:p w14:paraId="7C70A135" w14:textId="77777777" w:rsidR="00A443BC" w:rsidRPr="001017FB" w:rsidRDefault="00770A54" w:rsidP="00A443BC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Sayfa numarası, üstbilgi ve altbilgi</w:t>
      </w:r>
      <w:r w:rsidR="00A443BC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>eklenmeli ve şablondaki yapı korunmalıdır</w:t>
      </w:r>
      <w:r w:rsidR="00A443BC" w:rsidRPr="001017FB">
        <w:rPr>
          <w:sz w:val="24"/>
          <w:lang w:val="tr-TR"/>
        </w:rPr>
        <w:t>.</w:t>
      </w:r>
    </w:p>
    <w:p w14:paraId="07E56F0F" w14:textId="77777777" w:rsidR="00A443BC" w:rsidRPr="001017FB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017FB">
        <w:rPr>
          <w:sz w:val="24"/>
          <w:lang w:val="tr-TR"/>
        </w:rPr>
        <w:t>Kaynaklar</w:t>
      </w:r>
    </w:p>
    <w:p w14:paraId="07E24F38" w14:textId="77777777" w:rsidR="00A443BC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 xml:space="preserve">Referanslar bölümünün başlığı numaralandırılmamalıdır. Tüm başvuru öğeleri </w:t>
      </w:r>
      <w:r w:rsidR="00597045" w:rsidRPr="001017FB">
        <w:rPr>
          <w:sz w:val="24"/>
          <w:lang w:val="tr-TR"/>
        </w:rPr>
        <w:t>10</w:t>
      </w:r>
      <w:r w:rsidRPr="001017FB">
        <w:rPr>
          <w:sz w:val="24"/>
          <w:lang w:val="tr-TR"/>
        </w:rPr>
        <w:t xml:space="preserve"> punto olmalıdır. Referanslar köşeli parantez içinde </w:t>
      </w:r>
      <w:proofErr w:type="spellStart"/>
      <w:r w:rsidRPr="001017FB">
        <w:rPr>
          <w:sz w:val="24"/>
          <w:lang w:val="tr-TR"/>
        </w:rPr>
        <w:t>ard</w:t>
      </w:r>
      <w:proofErr w:type="spellEnd"/>
      <w:r w:rsidRPr="001017FB">
        <w:rPr>
          <w:sz w:val="24"/>
          <w:lang w:val="tr-TR"/>
        </w:rPr>
        <w:t xml:space="preserve"> arda numaralandırılmalıdır (ör. [1]).</w:t>
      </w:r>
      <w:r w:rsidR="00A443BC" w:rsidRPr="001017FB">
        <w:rPr>
          <w:sz w:val="24"/>
          <w:lang w:val="tr-TR"/>
        </w:rPr>
        <w:t xml:space="preserve"> </w:t>
      </w:r>
    </w:p>
    <w:p w14:paraId="1005D6BD" w14:textId="77777777" w:rsidR="00770A54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</w:t>
      </w:r>
      <w:proofErr w:type="gramStart"/>
      <w:r w:rsidRPr="001017FB">
        <w:rPr>
          <w:sz w:val="24"/>
          <w:lang w:val="tr-TR"/>
        </w:rPr>
        <w:t>] -</w:t>
      </w:r>
      <w:proofErr w:type="gramEnd"/>
      <w:r w:rsidRPr="001017FB">
        <w:rPr>
          <w:sz w:val="24"/>
          <w:lang w:val="tr-TR"/>
        </w:rPr>
        <w:t xml:space="preserve"> [6]).</w:t>
      </w:r>
    </w:p>
    <w:p w14:paraId="4B0BB766" w14:textId="77777777" w:rsidR="00A443BC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Referanslar bölümünde gösterilen farklı referans öğelerine örnekler:</w:t>
      </w:r>
    </w:p>
    <w:p w14:paraId="1B879A60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book</w:t>
      </w:r>
      <w:proofErr w:type="spellEnd"/>
      <w:r w:rsidRPr="001017FB">
        <w:rPr>
          <w:sz w:val="24"/>
          <w:lang w:val="tr-TR"/>
        </w:rPr>
        <w:t xml:space="preserve"> in [1]</w:t>
      </w:r>
    </w:p>
    <w:p w14:paraId="3C3A11F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book</w:t>
      </w:r>
      <w:proofErr w:type="spellEnd"/>
      <w:r w:rsidRPr="001017FB">
        <w:rPr>
          <w:sz w:val="24"/>
          <w:lang w:val="tr-TR"/>
        </w:rPr>
        <w:t xml:space="preserve"> in a </w:t>
      </w:r>
      <w:proofErr w:type="spellStart"/>
      <w:r w:rsidRPr="001017FB">
        <w:rPr>
          <w:sz w:val="24"/>
          <w:lang w:val="tr-TR"/>
        </w:rPr>
        <w:t>series</w:t>
      </w:r>
      <w:proofErr w:type="spellEnd"/>
      <w:r w:rsidRPr="001017FB">
        <w:rPr>
          <w:sz w:val="24"/>
          <w:lang w:val="tr-TR"/>
        </w:rPr>
        <w:t xml:space="preserve"> in [2]</w:t>
      </w:r>
    </w:p>
    <w:p w14:paraId="1ACF25D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journal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article</w:t>
      </w:r>
      <w:proofErr w:type="spellEnd"/>
      <w:r w:rsidRPr="001017FB">
        <w:rPr>
          <w:sz w:val="24"/>
          <w:lang w:val="tr-TR"/>
        </w:rPr>
        <w:t xml:space="preserve"> in [3]</w:t>
      </w:r>
    </w:p>
    <w:p w14:paraId="17EA7F8C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conference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paper</w:t>
      </w:r>
      <w:proofErr w:type="spellEnd"/>
      <w:r w:rsidRPr="001017FB">
        <w:rPr>
          <w:sz w:val="24"/>
          <w:lang w:val="tr-TR"/>
        </w:rPr>
        <w:t xml:space="preserve"> in [4]</w:t>
      </w:r>
    </w:p>
    <w:p w14:paraId="1A2BCF5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patent in [5]</w:t>
      </w:r>
    </w:p>
    <w:p w14:paraId="1DBD0569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website</w:t>
      </w:r>
      <w:proofErr w:type="spellEnd"/>
      <w:r w:rsidRPr="001017FB">
        <w:rPr>
          <w:sz w:val="24"/>
          <w:lang w:val="tr-TR"/>
        </w:rPr>
        <w:t xml:space="preserve"> in [6]</w:t>
      </w:r>
    </w:p>
    <w:p w14:paraId="77853C59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web </w:t>
      </w:r>
      <w:proofErr w:type="spellStart"/>
      <w:r w:rsidRPr="001017FB">
        <w:rPr>
          <w:sz w:val="24"/>
          <w:lang w:val="tr-TR"/>
        </w:rPr>
        <w:t>page</w:t>
      </w:r>
      <w:proofErr w:type="spellEnd"/>
      <w:r w:rsidRPr="001017FB">
        <w:rPr>
          <w:sz w:val="24"/>
          <w:lang w:val="tr-TR"/>
        </w:rPr>
        <w:t xml:space="preserve"> in [7]</w:t>
      </w:r>
    </w:p>
    <w:p w14:paraId="4D690CC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databook</w:t>
      </w:r>
      <w:proofErr w:type="spellEnd"/>
      <w:r w:rsidRPr="001017FB">
        <w:rPr>
          <w:sz w:val="24"/>
          <w:lang w:val="tr-TR"/>
        </w:rPr>
        <w:t xml:space="preserve"> as a </w:t>
      </w:r>
      <w:proofErr w:type="spellStart"/>
      <w:r w:rsidRPr="001017FB">
        <w:rPr>
          <w:sz w:val="24"/>
          <w:lang w:val="tr-TR"/>
        </w:rPr>
        <w:t>manual</w:t>
      </w:r>
      <w:proofErr w:type="spellEnd"/>
      <w:r w:rsidRPr="001017FB">
        <w:rPr>
          <w:sz w:val="24"/>
          <w:lang w:val="tr-TR"/>
        </w:rPr>
        <w:t xml:space="preserve"> in [8]</w:t>
      </w:r>
    </w:p>
    <w:p w14:paraId="521D1905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datasheet</w:t>
      </w:r>
      <w:proofErr w:type="spellEnd"/>
      <w:r w:rsidRPr="001017FB">
        <w:rPr>
          <w:sz w:val="24"/>
          <w:lang w:val="tr-TR"/>
        </w:rPr>
        <w:t xml:space="preserve"> in [9]</w:t>
      </w:r>
    </w:p>
    <w:p w14:paraId="4155BB05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master’s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thesis</w:t>
      </w:r>
      <w:proofErr w:type="spellEnd"/>
      <w:r w:rsidRPr="001017FB">
        <w:rPr>
          <w:sz w:val="24"/>
          <w:lang w:val="tr-TR"/>
        </w:rPr>
        <w:t xml:space="preserve"> in [10]</w:t>
      </w:r>
    </w:p>
    <w:p w14:paraId="10F47F5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technical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report</w:t>
      </w:r>
      <w:proofErr w:type="spellEnd"/>
      <w:r w:rsidRPr="001017FB">
        <w:rPr>
          <w:sz w:val="24"/>
          <w:lang w:val="tr-TR"/>
        </w:rPr>
        <w:t xml:space="preserve"> in [11]</w:t>
      </w:r>
    </w:p>
    <w:p w14:paraId="0EC6F6B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standard</w:t>
      </w:r>
      <w:proofErr w:type="spellEnd"/>
      <w:r w:rsidRPr="001017FB">
        <w:rPr>
          <w:sz w:val="24"/>
          <w:lang w:val="tr-TR"/>
        </w:rPr>
        <w:t xml:space="preserve"> in [12]</w:t>
      </w:r>
    </w:p>
    <w:p w14:paraId="01F49658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BULGULAR</w:t>
      </w:r>
    </w:p>
    <w:p w14:paraId="1F384DBE" w14:textId="77777777" w:rsidR="00B757B4" w:rsidRPr="001017FB" w:rsidRDefault="00770A5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4E0B261A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TARTIŞMA</w:t>
      </w:r>
    </w:p>
    <w:p w14:paraId="1CC18725" w14:textId="77777777" w:rsidR="00B757B4" w:rsidRPr="001017FB" w:rsidRDefault="00770A5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017FB">
        <w:rPr>
          <w:sz w:val="24"/>
          <w:lang w:val="tr-TR"/>
        </w:rPr>
        <w:t>, önceki çalışmalarla karşılaştırılmalı ve bilime katkısı yorumlanmalıdır.</w:t>
      </w:r>
    </w:p>
    <w:p w14:paraId="476A45CC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SONUÇLAR</w:t>
      </w:r>
    </w:p>
    <w:p w14:paraId="53047528" w14:textId="77777777" w:rsidR="00B757B4" w:rsidRPr="001017FB" w:rsidRDefault="00EE1A73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Çalışmanın ana sonuçları bu bölümde özetlenmelidir.</w:t>
      </w:r>
    </w:p>
    <w:p w14:paraId="6D0F5566" w14:textId="77777777" w:rsidR="004C090F" w:rsidRPr="001017FB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1017FB">
        <w:rPr>
          <w:sz w:val="24"/>
          <w:lang w:val="en-US"/>
        </w:rPr>
        <w:t>TEŞEKKÜR</w:t>
      </w:r>
    </w:p>
    <w:p w14:paraId="004C0A0B" w14:textId="77777777" w:rsidR="004C090F" w:rsidRPr="001017FB" w:rsidRDefault="004C090F" w:rsidP="004C090F">
      <w:pPr>
        <w:pStyle w:val="IEEEParagraph"/>
        <w:rPr>
          <w:sz w:val="24"/>
        </w:rPr>
      </w:pPr>
      <w:r w:rsidRPr="001017FB">
        <w:rPr>
          <w:sz w:val="24"/>
          <w:lang w:val="en-GB"/>
        </w:rPr>
        <w:t>The heading of the Acknowledgment section and the References section must not be numbered.</w:t>
      </w:r>
    </w:p>
    <w:p w14:paraId="0029EF56" w14:textId="77777777" w:rsidR="004C090F" w:rsidRPr="001017FB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1017FB">
        <w:rPr>
          <w:sz w:val="24"/>
        </w:rPr>
        <w:t>KAYNAKLAR</w:t>
      </w:r>
    </w:p>
    <w:p w14:paraId="63CF7794" w14:textId="77777777" w:rsidR="00CE4986" w:rsidRPr="00CE4986" w:rsidRDefault="00CE4986" w:rsidP="00CE4986">
      <w:pPr>
        <w:pStyle w:val="IEEEParagraph"/>
        <w:rPr>
          <w:sz w:val="24"/>
        </w:rPr>
      </w:pPr>
    </w:p>
    <w:p w14:paraId="4C7CEBCF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 xml:space="preserve">Yakar, M., Yılmaz, H. M., &amp; </w:t>
      </w:r>
      <w:proofErr w:type="spellStart"/>
      <w:r w:rsidRPr="00CC2C38">
        <w:rPr>
          <w:sz w:val="20"/>
        </w:rPr>
        <w:t>Mutluoglu</w:t>
      </w:r>
      <w:proofErr w:type="spellEnd"/>
      <w:r w:rsidRPr="00CC2C38">
        <w:rPr>
          <w:sz w:val="20"/>
        </w:rPr>
        <w:t xml:space="preserve">, O. (2014). Performance of photogrammetric and terrestrial laser scanning methods in volume computing of excavation and filling areas. </w:t>
      </w:r>
      <w:hyperlink r:id="rId15" w:history="1">
        <w:r w:rsidRPr="00CC2C38">
          <w:rPr>
            <w:sz w:val="20"/>
          </w:rPr>
          <w:t>Arabian Journal for Science and Engineering</w:t>
        </w:r>
      </w:hyperlink>
      <w:r w:rsidRPr="00CC2C38">
        <w:rPr>
          <w:sz w:val="20"/>
        </w:rPr>
        <w:t>, 39, 387-394.</w:t>
      </w:r>
    </w:p>
    <w:p w14:paraId="6F6F46BA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>Alptekin, A., &amp; Yakar, M. (2020). Determination of pond volume with using an unmanned aerial vehicle. Mersin Photogrammetry Journal, 2(2), 59-63.</w:t>
      </w:r>
    </w:p>
    <w:p w14:paraId="1AF9484E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 xml:space="preserve">Karataş, L., Alptekin, A., &amp; Yakar, M. (2022). Mardin historical </w:t>
      </w:r>
      <w:proofErr w:type="spellStart"/>
      <w:r w:rsidRPr="00CC2C38">
        <w:rPr>
          <w:sz w:val="20"/>
        </w:rPr>
        <w:t>Kuyumcular</w:t>
      </w:r>
      <w:proofErr w:type="spellEnd"/>
      <w:r w:rsidRPr="00CC2C38">
        <w:rPr>
          <w:sz w:val="20"/>
        </w:rPr>
        <w:t xml:space="preserve"> (Jewelers) Bazaar restoration evaluation. Advanced Engineering Days (AED), 5, 15-17.</w:t>
      </w:r>
    </w:p>
    <w:p w14:paraId="23043F23" w14:textId="6C4E8365" w:rsidR="007F7949" w:rsidRPr="00C447EF" w:rsidRDefault="00E6580D" w:rsidP="00B80B2C">
      <w:pPr>
        <w:pStyle w:val="IEEEReferenceItem"/>
        <w:rPr>
          <w:sz w:val="20"/>
        </w:rPr>
      </w:pPr>
      <w:r w:rsidRPr="00CC2C38">
        <w:rPr>
          <w:sz w:val="20"/>
        </w:rPr>
        <w:t>Maune, D. F. (2001). Digital elevation model technologies and applications: The DEM user manual. The American Society for Photogrammetry and Remote Sensing. ISBN:1-57083-064-9</w:t>
      </w:r>
    </w:p>
    <w:sectPr w:rsidR="007F7949" w:rsidRPr="00C447EF" w:rsidSect="004A3CAE">
      <w:type w:val="continuous"/>
      <w:pgSz w:w="11907" w:h="16840" w:code="9"/>
      <w:pgMar w:top="1373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9ABF" w14:textId="77777777" w:rsidR="000D69E2" w:rsidRDefault="000D69E2" w:rsidP="00B80B2C">
      <w:pPr>
        <w:spacing w:after="0" w:line="240" w:lineRule="auto"/>
      </w:pPr>
      <w:r>
        <w:separator/>
      </w:r>
    </w:p>
  </w:endnote>
  <w:endnote w:type="continuationSeparator" w:id="0">
    <w:p w14:paraId="28D5A3F5" w14:textId="77777777" w:rsidR="000D69E2" w:rsidRDefault="000D69E2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7EA8" w14:textId="77777777" w:rsidR="000F6F53" w:rsidRDefault="000F6F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509277"/>
      <w:docPartObj>
        <w:docPartGallery w:val="Page Numbers (Bottom of Page)"/>
        <w:docPartUnique/>
      </w:docPartObj>
    </w:sdtPr>
    <w:sdtContent>
      <w:p w14:paraId="61C22608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33">
          <w:rPr>
            <w:noProof/>
          </w:rPr>
          <w:t>2</w:t>
        </w:r>
        <w:r>
          <w:fldChar w:fldCharType="end"/>
        </w:r>
      </w:p>
    </w:sdtContent>
  </w:sdt>
  <w:p w14:paraId="7039EF0C" w14:textId="77777777" w:rsidR="00951945" w:rsidRDefault="009519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7103451"/>
      <w:docPartObj>
        <w:docPartGallery w:val="Page Numbers (Bottom of Page)"/>
        <w:docPartUnique/>
      </w:docPartObj>
    </w:sdtPr>
    <w:sdtContent>
      <w:p w14:paraId="1B4D56A3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D5">
          <w:rPr>
            <w:noProof/>
          </w:rPr>
          <w:t>1</w:t>
        </w:r>
        <w:r>
          <w:fldChar w:fldCharType="end"/>
        </w:r>
      </w:p>
    </w:sdtContent>
  </w:sdt>
  <w:p w14:paraId="01015DCC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BBF1" w14:textId="77777777" w:rsidR="000D69E2" w:rsidRDefault="000D69E2" w:rsidP="00B80B2C">
      <w:pPr>
        <w:spacing w:after="0" w:line="240" w:lineRule="auto"/>
      </w:pPr>
      <w:r>
        <w:separator/>
      </w:r>
    </w:p>
  </w:footnote>
  <w:footnote w:type="continuationSeparator" w:id="0">
    <w:p w14:paraId="2C5BDC85" w14:textId="77777777" w:rsidR="000D69E2" w:rsidRDefault="000D69E2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4953" w14:textId="77777777" w:rsidR="000F6F53" w:rsidRDefault="000F6F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9CFD" w14:textId="77777777" w:rsidR="000F6F53" w:rsidRDefault="000F6F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0F6F53" w14:paraId="623FD618" w14:textId="77777777" w:rsidTr="00C41868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ED176B" w14:textId="77777777" w:rsidR="000F6F53" w:rsidRPr="00634EFE" w:rsidRDefault="000F6F53" w:rsidP="000F6F53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6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A208D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Innovative Academic Studies</w:t>
          </w:r>
        </w:p>
        <w:p w14:paraId="0BA85325" w14:textId="77777777" w:rsidR="000F6F53" w:rsidRPr="00634EFE" w:rsidRDefault="000F6F53" w:rsidP="000F6F53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538A5BE0" w14:textId="77777777" w:rsidR="000F6F53" w:rsidRPr="007F0B30" w:rsidRDefault="000F6F53" w:rsidP="000F6F53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March 12-13, 2025: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7DF38B5F" w14:textId="77777777" w:rsidR="000F6F53" w:rsidRDefault="000F6F53" w:rsidP="000F6F53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7D1B5EC9" wp14:editId="1E104D77">
                <wp:extent cx="894742" cy="769259"/>
                <wp:effectExtent l="0" t="0" r="635" b="0"/>
                <wp:docPr id="96818639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18639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769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336A40A" w14:textId="77777777" w:rsidR="000F6F53" w:rsidRPr="00356D39" w:rsidRDefault="000F6F53" w:rsidP="000F6F53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208D9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https://www.icias.net/</w:t>
            </w:r>
          </w:hyperlink>
        </w:p>
      </w:tc>
    </w:tr>
    <w:tr w:rsidR="000F6F53" w14:paraId="181F2000" w14:textId="77777777" w:rsidTr="00C41868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60534FB" w14:textId="77777777" w:rsidR="000F6F53" w:rsidRPr="00CB2382" w:rsidRDefault="000F6F53" w:rsidP="000F6F53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25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50CE5EFE" w14:textId="77777777" w:rsidR="000F6F53" w:rsidRPr="00634EFE" w:rsidRDefault="000F6F53" w:rsidP="000F6F53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6A9F1ED1" w14:textId="77777777" w:rsidR="00E547B8" w:rsidRPr="00C327B7" w:rsidRDefault="00E547B8" w:rsidP="00855399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867793140">
    <w:abstractNumId w:val="0"/>
  </w:num>
  <w:num w:numId="2" w16cid:durableId="561866271">
    <w:abstractNumId w:val="4"/>
  </w:num>
  <w:num w:numId="3" w16cid:durableId="108811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491668">
    <w:abstractNumId w:val="3"/>
  </w:num>
  <w:num w:numId="5" w16cid:durableId="2121487085">
    <w:abstractNumId w:val="2"/>
  </w:num>
  <w:num w:numId="6" w16cid:durableId="1290479182">
    <w:abstractNumId w:val="5"/>
  </w:num>
  <w:num w:numId="7" w16cid:durableId="580413446">
    <w:abstractNumId w:val="1"/>
  </w:num>
  <w:num w:numId="8" w16cid:durableId="162059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7125"/>
    <w:rsid w:val="000811C5"/>
    <w:rsid w:val="000C21CF"/>
    <w:rsid w:val="000C3D46"/>
    <w:rsid w:val="000D69E2"/>
    <w:rsid w:val="000F6F53"/>
    <w:rsid w:val="001017FB"/>
    <w:rsid w:val="001220BA"/>
    <w:rsid w:val="00125650"/>
    <w:rsid w:val="0013700F"/>
    <w:rsid w:val="00155542"/>
    <w:rsid w:val="00180A69"/>
    <w:rsid w:val="00186C97"/>
    <w:rsid w:val="001A095E"/>
    <w:rsid w:val="001A6C26"/>
    <w:rsid w:val="001D0897"/>
    <w:rsid w:val="001D2693"/>
    <w:rsid w:val="00212D0B"/>
    <w:rsid w:val="002739EF"/>
    <w:rsid w:val="00277B83"/>
    <w:rsid w:val="002C75E2"/>
    <w:rsid w:val="003A21AF"/>
    <w:rsid w:val="003D3744"/>
    <w:rsid w:val="004338DC"/>
    <w:rsid w:val="004A3CAE"/>
    <w:rsid w:val="004C090F"/>
    <w:rsid w:val="004E09F2"/>
    <w:rsid w:val="00523207"/>
    <w:rsid w:val="00564D02"/>
    <w:rsid w:val="00597045"/>
    <w:rsid w:val="005C0C33"/>
    <w:rsid w:val="005E7F14"/>
    <w:rsid w:val="00600428"/>
    <w:rsid w:val="00637F1E"/>
    <w:rsid w:val="00653FE8"/>
    <w:rsid w:val="006B498E"/>
    <w:rsid w:val="00711282"/>
    <w:rsid w:val="0075786C"/>
    <w:rsid w:val="00760A45"/>
    <w:rsid w:val="00770A54"/>
    <w:rsid w:val="00773B39"/>
    <w:rsid w:val="00790179"/>
    <w:rsid w:val="00794EED"/>
    <w:rsid w:val="007D4A2C"/>
    <w:rsid w:val="007F7949"/>
    <w:rsid w:val="00846AB4"/>
    <w:rsid w:val="00855399"/>
    <w:rsid w:val="00856AAD"/>
    <w:rsid w:val="008E172C"/>
    <w:rsid w:val="00906B72"/>
    <w:rsid w:val="00951945"/>
    <w:rsid w:val="0098306E"/>
    <w:rsid w:val="009A38FD"/>
    <w:rsid w:val="009D7960"/>
    <w:rsid w:val="009F4240"/>
    <w:rsid w:val="009F78D5"/>
    <w:rsid w:val="00A210AE"/>
    <w:rsid w:val="00A37F77"/>
    <w:rsid w:val="00A443BC"/>
    <w:rsid w:val="00B72ACC"/>
    <w:rsid w:val="00B757B4"/>
    <w:rsid w:val="00B80B2C"/>
    <w:rsid w:val="00BA2F50"/>
    <w:rsid w:val="00BB71A6"/>
    <w:rsid w:val="00BD2303"/>
    <w:rsid w:val="00C327B7"/>
    <w:rsid w:val="00C447EF"/>
    <w:rsid w:val="00C76B59"/>
    <w:rsid w:val="00C81386"/>
    <w:rsid w:val="00CE4986"/>
    <w:rsid w:val="00D05FBC"/>
    <w:rsid w:val="00D2117F"/>
    <w:rsid w:val="00D56059"/>
    <w:rsid w:val="00D73849"/>
    <w:rsid w:val="00DC740E"/>
    <w:rsid w:val="00DD759B"/>
    <w:rsid w:val="00E03D4C"/>
    <w:rsid w:val="00E547B8"/>
    <w:rsid w:val="00E6580D"/>
    <w:rsid w:val="00E71235"/>
    <w:rsid w:val="00E75314"/>
    <w:rsid w:val="00E80EAD"/>
    <w:rsid w:val="00EB3847"/>
    <w:rsid w:val="00EE1A73"/>
    <w:rsid w:val="00F44BE9"/>
    <w:rsid w:val="00F5196E"/>
    <w:rsid w:val="00F65F1C"/>
    <w:rsid w:val="00FC7882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3741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llsciencesacademy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pringer.com/journal/13369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ias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26</cp:revision>
  <dcterms:created xsi:type="dcterms:W3CDTF">2020-02-20T11:02:00Z</dcterms:created>
  <dcterms:modified xsi:type="dcterms:W3CDTF">2025-03-05T02:04:00Z</dcterms:modified>
</cp:coreProperties>
</file>